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4 vom 28. März 2023</w:t>
      </w:r>
    </w:p>
    <w:p>
      <w:r>
        <w:t>ZG Obergericht, 2023-03-28, DE</w:t>
      </w:r>
    </w:p>
    <w:p>
      <w:r>
        <w:rPr>
          <w:b/>
        </w:rPr>
        <w:t xml:space="preserve">Quelle: </w:t>
      </w:r>
      <w:r>
        <w:t>https://mcp.opencaselaw.ch/entscheid/zg_obergericht_BA_2023_4</w:t>
      </w:r>
    </w:p>
    <w:p>
      <w:r>
        <w:t>FR: ZG_OBERGERICHT BA 2023 4 du 28 mars 2023</w:t>
      </w:r>
    </w:p>
    <w:p>
      <w:r>
        <w:t>IT: ZG_OBERGERICHT BA 2023 4 del 28 marzo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macht geltend, das Betreibungsamt habe das Fortsetzungsbegehren ohne nähere Begründung zurückgewiesen. Insbesondere sei es mit keinem Wort auf die Be- gründung im Begleitschreiben vom 16. Januar 2023 eingegangen. Dadurch habe das Betrei- bungsamt ihren Anspruch auf rechtliches Gehör verletzt.</w:t>
      </w:r>
    </w:p>
    <w:p>
      <w:r>
        <w:rPr>
          <w:b/>
        </w:rPr>
        <w:t>E. 1.1</w:t>
      </w:r>
    </w:p>
    <w:p>
      <w:r>
        <w:t>Die Beschwerdeführerin hielt zur Begründung des Fortsetzungsbegehrens im Wesentlichen fest, der Betreibungsschuldner habe auf dem Zahlungsbefehl seine Einrede des fehlenden neuen Vermögens wie folgt präzisiert: "Kein neues Vermögen" und "Es ist für diese Summe bereits eine Restschuldbefreiung in C.________ erfolgt. Seitdem sind keine Vermögenszu- wächse erfolgt". Der Betreibungsschuldner bestätige somit, dass das Betreibungsverfahren in der Schweiz für die gleiche Summe geführt werde, für welche er in C.________ eine Rest- schuldbefreiung erhalten habe. Die Summe an sich bestreite er nicht. Vielmehr führe er aus, dass er die Summe nicht bezahlen könne, weil er seit dem Zeitpunkt der Restschuldbefrei- ung kein Vermögen mehr habe äufnen können. Er bestätige damit sogar indirekt den Be- stand der Forderung. Dadurch habe der Betreibungsschuldner klargestellt, dass mit dem Rechtsvorschlag nur die Einrede des fehlenden neuen Vermögens erhoben werde. Der auf die Einrede des fehlenden neuen Vermögens begrenzte Rechtsvorschlag sei mit dem mitt- lerweile rechtskräftigen Entscheid des Kantonsgerichts Zug vom 11. Juli 2022 für ungültig er- klärt worden. Die Betreibung könne unter diesen Umständen fortgesetzt werden.</w:t>
      </w:r>
    </w:p>
    <w:p>
      <w:r>
        <w:rPr>
          <w:b/>
        </w:rPr>
        <w:t>E. 1.2</w:t>
      </w:r>
    </w:p>
    <w:p>
      <w:r>
        <w:t>Das Betreibungsamt wies das Fortsetzungsbegehren mit der Begründung zurück, gemäss dem Entscheid des Kantonsgerichts vom 11. Juli 2022 sei der Rechtsvorschlag betreffend fehlendes neues Vermögen nicht bewilligt worden. Der Betreibungsschuldner habe jedoch zusätzlich Rechtsvorschlag für die gesamte Forderung erhoben. Bevor dem Fortsetzungsbe- gehren stattgegeben werden könne, müsse der Rechtsvorschlag beseitigt werden. Damit machte das Betreibungsamt klar, dass es die Auffassung der Beschwerdeführerin nicht teilt, wonach der Betreibungsschuldner mit seinen handschriftlichen Ausführungen auf dem Zah- lungsbefehl die Forderung indirekt anerkannt und bloss die Einrede des fehlenden neuen Vermögens erhoben habe. Die Begründung des Betreibungsamtes war mithin so abgefasst, dass sich die Beschwerdeführerin über die Tragweite des Entscheids Rechenschaft geben und ihn in voller Kenntnis der Sache an die Beschwerdeabteilung des Obergerichts weiter- ziehen konnte (BGE 143 III 65 E. 5.2). Eine Verletzung des rechtlichen Gehörs aufgrund einer ungenügenden Begründung liegt somit nicht vor.</w:t>
      </w:r>
    </w:p>
    <w:p>
      <w:r>
        <w:rPr>
          <w:b/>
        </w:rPr>
        <w:t>E. 1.3</w:t>
      </w:r>
    </w:p>
    <w:p>
      <w:r>
        <w:t>Doch selbst wenn dies der Fall wäre, würde dies nicht zu einer Aufhebung der angefochte- nen Verfügung führen. So kann eine nicht besonders schwerwiegende Verletzung des recht- 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 hen, wenn und soweit die Rückweisung zu einem formalistischen Leerlauf und damit zu un- nötigen Verzögerungen führen würde, die mit dem Interesse der betroffenen Partei an einer beförderlichen Beurteilung der Sache nicht zu vereinbaren wären (Urteil des Bundesgerichts 1B_70/2018 vom 10. April 2018 E. 2.2 mit Hinweisen).</w:t>
      </w:r>
    </w:p>
    <w:p>
      <w:r>
        <w:t>Seite 4/5 Die Beschwerdeführerin hat von der Möglichkeit, sich im vorliegenden Beschwerdeverfahren zu äussern, Gebrauch gemacht. Die betreibungsrechtliche Beschwerde ist ein vollkommenes Rechtsmittel, mit dem die Aufsichtsbehörde den Fall in Bezug auf Sachverhalts-, Rechts- und Ermessensfragen voll überprüfen kann (Cometta/Möckli, Basler Kommentar, 3. A. 2021, Art. 17 SchKG N 4). Eine Aufhebung der Verfügung und Rückweisung der Sache an das Be- treibungsamt käme daher einem formalistischen Leerlauf gleich.</w:t>
      </w:r>
    </w:p>
    <w:p>
      <w:r>
        <w:rPr>
          <w:b/>
        </w:rPr>
        <w:t>E. 2</w:t>
      </w:r>
    </w:p>
    <w:p>
      <w:r>
        <w:t>Die Beschwerdeführerin wiederholt zur Begründung ihrer Beschwerde im Wesentlichen ihren Standpunkt im Fortsetzungsbegehren vom 16. Januar 2023 (vgl. vorne E. 1.1).</w:t>
      </w:r>
    </w:p>
    <w:p>
      <w:r>
        <w:rPr>
          <w:b/>
        </w:rPr>
        <w:t>E. 2.1</w:t>
      </w:r>
    </w:p>
    <w:p>
      <w:r>
        <w:t>Ist unklar, ob mit dem Rechtsvorschlag nur die Einrede des fehlenden neuen Vermögens er- hoben wird oder ob sich dieser auch gegen die in Betreibung gesetzte Forderung richtet, hat die Auslegung der Erklärung gemäss der neueren Rechtsprechung des Bundesgerichts nach dem Vertrauensprinzip vorzunehmen und nicht mehr – wie früher – nach dem Grundsatz "in dubio pro debitore" (BGE 140 III 567 E. 2.3; Urteile des Bundesgerichts 5A_351/2016 vom 19. Juli 2016 E. 8 und 5A_713/2018 vom 23. Januar 2019 E. 2.3).</w:t>
      </w:r>
    </w:p>
    <w:p>
      <w:r>
        <w:rPr>
          <w:b/>
        </w:rPr>
        <w:t>E. 2.2</w:t>
      </w:r>
    </w:p>
    <w:p>
      <w:r>
        <w:t>Aus der unbestrittenen Darstellung des Betreibungsamtes ergibt sich klar, dass der Betrei- bungsschuldner mit der Erhebung des Rechtsvorschlags nicht nur die Einrede des fehlenden neuen Vermögens erhob, sondern auch die gesamte Forderung bestritt. So führte das Be- treibungsamt aus, der Zahlungsbefehl sei dem Betreibungsschuldner am 24. August 2021 auf dem Amt zugestellt worden, worauf dieser Rechtsvorschlag gegen die gesamte Forde- rung erhoben habe. Deshalb kreuzte die mit der Zustellung befasste Person des Betrei- bungsamtes auf dem – massgebenden (Art. 70 Abs. 1 SchKG) – Schuldnerdoppel des Zah- lungsbefehls die Rubrik "Rechtsvorschlag (gesamte Forderung)" an und unterzeichnete diese Erklärung am 24. August 2021 mit dem Stempel des Betreibungsamtes. Am 25. August 2021 ging beim Betreibungsamt das dem Betreibungsschuldner ausgehändigte Schuldnerdoppel des Zahlungsbefehls ein. Der Betreibungsschuldner erhob darauf neu handschriftlich die Ein- rede "Kein neues Vermögen" und hielt handschriftlich Folgendes fest: "Es ist für diese Sum- me bereits eine Restschuldbefreiung in C.________ erfolgt. Seitdem sind keine Vermögens- zuwächse erfolgt." Beide Äusserungen unterzeichnete der Betreibungsschuldner separat. Er ergänzte damit den am 24. August 2021 erhobenen Rechtsvorschlag, mit welchem er die ge- samte Forderung bestritt, um die Einrede des fehlenden neuen Vermögens. Dies ergibt sich daraus, dass der Betreibungsschuldner die vom Betreibungsamt angekreuzte Rubrik "Rechtsvorschlag (gesamte Forderung)" unverändert liess. Angesichts der beiden unabhän- gig voneinander abgegebenen Erklärungen des Betreibungsschuldners bestehen entgegen der Ansicht der Beschwerdeführerin keine Hinweise dafür, dass dieser mit der nachträglich angebrachten Einrede des fehlenden neuen Vermögens die Forderung "indirekt" anerkannt hat. Das Betreibungsamt hat daher das Fortsetzungsbegehren der Beschwerdeführerin man- gels Beseitigung des gegen den Bestand der Forderung erhobenen Rechtsvorschlags zu Recht zurückgewiesen. Die Beschwerde erweist sich damit als unbegründet und ist abzuwei- sen.</w:t>
      </w:r>
    </w:p>
    <w:p>
      <w:r>
        <w:rPr>
          <w:b/>
        </w:rPr>
        <w:t>E. 3</w:t>
      </w:r>
    </w:p>
    <w:p>
      <w:r>
        <w:t>Nach Art. 20a Abs. 2 Ziff. 5 SchKG ist das Verfahren vor der kantonalen Aufsichtsbehörde über Schuldbetreibung und Konkurs kostenlos und Parteientschädigungen dürfen in diesem Verfahren nicht zugesprochen werden (Art. 62 Abs. 2 GebV SchKG).</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