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ZG_OBERGERICHT BA 2023 39 vom 19. September 2023</w:t>
      </w:r>
    </w:p>
    <w:p>
      <w:r>
        <w:t>ZG Obergericht, 2023-09-19, DE</w:t>
      </w:r>
    </w:p>
    <w:p>
      <w:r>
        <w:rPr>
          <w:b/>
        </w:rPr>
        <w:t xml:space="preserve">Quelle: </w:t>
      </w:r>
      <w:r>
        <w:t>https://mcp.opencaselaw.ch/entscheid/zg_obergericht_BA_2023_39</w:t>
      </w:r>
    </w:p>
    <w:p>
      <w:r>
        <w:t>FR: ZG_OBERGERICHT BA 2023 39 du 19 septembre 2023</w:t>
      </w:r>
    </w:p>
    <w:p>
      <w:r>
        <w:t>IT: ZG_OBERGERICHT BA 2023 39 del 19 settembre 2023</w:t>
      </w:r>
    </w:p>
    <w:p>
      <w:pPr>
        <w:pStyle w:val="Heading2"/>
      </w:pPr>
      <w:r>
        <w:t>Regeste</w:t>
      </w:r>
    </w:p>
    <w:p>
      <w:r>
        <w:t>II. Beschwerdeabteilung%z%Aufsichtsbehörde über Schuldbetreibung und Konkurs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Gesuch von C.________ (nachfolgend: Gläubigerin) stellte das Bezirksgericht Zürich, Einzelgericht Audienz, am 3. Februar 2023 für eine Forderung von CHF 28'000.00 gegen A.________ (nachfolgend: Beschwerdeführer) gestützt auf Art. 271 Abs. 1 Ziff. 4 SchKG einen Arrestbefehl aus. Das Betreibungsamt Zürich 1 ("Lead-Betreibungsamt") wurde mit dem koordinierten Vollzug folgender Arrestgegenstände beauftragt (act. 1/2): Beim Betreibungsamt Zürich 1 Auf den Schuldner lautende Vermögenswerte auf dem Konto IBAN ________ bei der D.________, Zürich; Beim Betreibungsamt Zug Sämtliche Forderungen, Dividenden- und sonstige Ausschüttungsansprüche, die sich aus der Aktionärsstellung des Schuldners bei der E.________ AG, Zug, ergeben; alles soweit verarrestierbar, bis zur Deckung der Arrestforderung samt Kosten.</w:t>
      </w:r>
    </w:p>
    <w:p>
      <w:r>
        <w:rPr>
          <w:b/>
        </w:rPr>
        <w:t>E. 2</w:t>
      </w:r>
    </w:p>
    <w:p>
      <w:r>
        <w:t>Am 3. bzw. 7. Februar 2023 wurde der Arrest durch das Betreibungsamt Zürich 1 (Arrest Nr. F.________) bzw. rechtshilfeweise durch das Betreibungsamt Zug (Arrest Nr. G.________) vollzogen (vgl. act. 1/1-1/2; act. 3/1-3/3 im Verfahren BA 2023 13).</w:t>
      </w:r>
    </w:p>
    <w:p>
      <w:r>
        <w:rPr>
          <w:b/>
        </w:rPr>
        <w:t>E. 3</w:t>
      </w:r>
    </w:p>
    <w:p>
      <w:r>
        <w:t>Mit Eingabe vom 9. Februar 2023 erhob der Beschwerdeführer beim Bezirksgericht Zürich, Einzelgericht Audienz, Einsprache gegen den Arrest (vgl. act. 1/1 E. 1).</w:t>
      </w:r>
    </w:p>
    <w:p>
      <w:r>
        <w:rPr>
          <w:b/>
        </w:rPr>
        <w:t>E. 4</w:t>
      </w:r>
    </w:p>
    <w:p>
      <w:r>
        <w:t>Am 10. Februar 2023 reichte die Gläubigerin beim Betreibungsamt Zug das Betreibungsbe- gehren ein. Das Betreibungsamt Zug stellte am 13. Februar 2023 den Zahlungsbefehl in der Betreibung Nr. H.________ aus, welcher am 15. Februar 2023 dem Beschwerdeführer zuge- stellt werden konnte. Der Beschwerdeführer erhob gleichentags Rechtsvorschlag (vgl. act. 3/8-3/9 im Verfahren BA 2023 13).</w:t>
      </w:r>
    </w:p>
    <w:p>
      <w:r>
        <w:rPr>
          <w:b/>
        </w:rPr>
        <w:t>E. 5</w:t>
      </w:r>
    </w:p>
    <w:p>
      <w:r>
        <w:t>Mit Schreiben vom 22. März 2023 teilte das Betreibungsamt Zürich 1 dem Bezirksgericht Zürich mit, dass der Arrest Nr. F.________ am 16. Februar 2023 infolge minderwertigen Ar- restsubstrats aufgehoben worden sei (vgl. act. 1/1 E. 1 und 2.2).</w:t>
      </w:r>
    </w:p>
    <w:p>
      <w:r>
        <w:rPr>
          <w:b/>
        </w:rPr>
        <w:t>E. 6</w:t>
      </w:r>
    </w:p>
    <w:p>
      <w:r>
        <w:t>Mit Verfügung vom 23. Juni 2023 schrieb das Bezirksgericht Zürich, Einzelgericht Audienz, das Arresteinspracheverfahren, das auf Aufhebung des Arrestes Nr. F.________ gerichtet war, als gegenstandslos ab (act. 1/1).</w:t>
      </w:r>
    </w:p>
    <w:p>
      <w:r>
        <w:rPr>
          <w:b/>
        </w:rPr>
        <w:t>E. 7</w:t>
      </w:r>
    </w:p>
    <w:p>
      <w:r>
        <w:t>Am 10. Juli 2023 erhob der Beschwerdeführer Beschwerde bei der II. Beschwerdeabteilung des Obergerichts Zug und ersuchte um Aufhebung des Zahlungsbefehls in der Betreibung Nr. H.________ des Betreibungsamtes Zug. Zur Begründung führte er aus, das Bezirksge- richt Zürich habe das Arresteinspracheverfahren als gegenstandslos abgeschrieben, weshalb keine Forderungen mehr geltend gemacht werden könnten. Zudem seien keine Vermögens- werte vorhanden (act. 1).</w:t>
      </w:r>
    </w:p>
    <w:p>
      <w:r>
        <w:rPr>
          <w:b/>
        </w:rPr>
        <w:t>E. 8</w:t>
      </w:r>
    </w:p>
    <w:p>
      <w:r>
        <w:t>Am 13. Juli 2023 reichte das Betreibungsamt Zug die relevanten amtlichen Akten ein (act. 3).</w:t>
      </w:r>
    </w:p>
    <w:p>
      <w:r>
        <w:t>Seite 3/4</w:t>
      </w:r>
    </w:p>
    <w:p>
      <w:r>
        <w:rPr>
          <w:b/>
        </w:rPr>
        <w:t>E. 9</w:t>
      </w:r>
    </w:p>
    <w:p>
      <w:r>
        <w:t>Nach der Rechtsprechung des Bundesgerichts fällt der Betreibungsort des Arrestes (Art. 52 SchKG) und damit die (allein) auf ihn gestützte Betreibung dahin, wenn der Arrest aufgeho- ben wird (vgl. Urteil des Bundesgerichts 5A_411/2020 vom 7. Mai 2021 E. 4.2; BGE 115 III 28 E. 4b). Wie der Verfügung des Bezirksgerichts Zürich EQ230043-L/U vom 23. Juni 2023 zu entnehmen ist, hob das Betreibungsamt Zürich 1 am 16. Februar 2023 den Arrest Nr. F.________ infolge minderwertigem Arrestsubstrat wieder auf. Entsprechend schrieb das Gericht die Arresteinsprache, die auf Aufhebung eben dieses Arrestes gerichtet war, als ge- genstandslos ab (vgl. act. 1/1 E. 2.2). Der Beschwerdeführer hat diese Verfügung – soweit ersichtlich – nicht angefochten. Er liegen keine Belege dafür vor, dass auch der Arrest Nr. G.________ des Betreibungsamtes Zug aufgehoben wurde. Folglich ist die Betreibung Nr. H.________ des Betreibungsamtes Zug nicht dahingefallen.</w:t>
      </w:r>
    </w:p>
    <w:p>
      <w:r>
        <w:rPr>
          <w:b/>
        </w:rPr>
        <w:t>E. 10</w:t>
      </w:r>
    </w:p>
    <w:p>
      <w:r>
        <w:t>Anzumerken bleibt, dass der Beschwerdeführer in der Betreibung Nr. H.________ des Be- treibungsamtes Zug Rechtsvorschlag erhoben hat (vgl. act. 3/9 im Verfahren BA 2023 13). Der Rechtsvorschlag bewirkt die Einstellung der Betreibung (Art. 78 Abs. 1 SchKG). Damit wird dem Gläubiger der Betreibungsweg verschlossen. Die Betreibung steht still und droht dahinzufallen, wenn sie nicht binnen nützlicher Frist wieder in Gang gebracht wird. Die Be- treibung kann nur nach Aufhebung des Rechtsvorschlages durch den Richter im Rechtsöff- nungsverfahren (Art. 80-84 SchKG) oder auf dem ordentlichen Prozessweg (Art. 79, 153 Abs. 3 und 186 SchKG) fortgesetzt werden (vgl. etwa BGE 130 III 396 E. 1.2.3). Das Be- zirksgericht Zürich führte in der Verfügung vom 23. Juni 2023 aus, es liege kein schriftlicher Vertrag im Recht und die Parteien hätten untereinander lediglich mündliche Vereinbarungen getroffen (vgl. act. 1/1 E. 4.3). Folglich müsste die Gläubigerin (wohl) den ordentlichen Pro- zessweg beschreiten, um die Aufhebung des Rechtsvorschlages zu bewirken. Bis zu einem allfälligen Prozess bleibt die Betreibung aber eingestellt.</w:t>
      </w:r>
    </w:p>
    <w:p>
      <w:r>
        <w:rPr>
          <w:b/>
        </w:rPr>
        <w:t>E. 11</w:t>
      </w:r>
    </w:p>
    <w:p>
      <w:r>
        <w:t>Die Beschwerde erweist sich demnach als unbegründet und ist abzuweisen. Gemäss Art. 20a Abs. 2 Ziff. 5 SchKG ist das Verfahren vor der kantonalen Aufsichtsbehör- de, von hier nicht zutreffenden Ausnahmen abgesehen, kostenlos. Urteilsspruch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