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madrigall-décision-du-23-septembre-2024-2024-09-23 vom 23. September 2024</w:t>
      </w:r>
    </w:p>
    <w:p>
      <w:r>
        <w:t>WEKO, 2024-09-23, FR</w:t>
      </w:r>
    </w:p>
    <w:p>
      <w:r>
        <w:rPr>
          <w:b/>
        </w:rPr>
        <w:t xml:space="preserve">Quelle: </w:t>
      </w:r>
      <w:r>
        <w:t>https://mcp.opencaselaw.ch/entscheid/weko_madrigall-décision-du-23-septembre-2024-2024-09-23</w:t>
      </w:r>
    </w:p>
    <w:p>
      <w:r>
        <w:t>FR: WEKO madrigall-décision-du-23-septembre-2024-2024-09-23 du 23 septembre 2024</w:t>
      </w:r>
    </w:p>
    <w:p>
      <w:r>
        <w:t>IT: WEKO madrigall-décision-du-23-septembre-2024-2024-09-23 del 23 settembre 2024</w:t>
      </w:r>
    </w:p>
    <w:p>
      <w:pPr>
        <w:pStyle w:val="Heading2"/>
      </w:pPr>
      <w:r>
        <w:t>Erwägungen</w:t>
      </w:r>
    </w:p>
    <w:p>
      <w:r>
        <w:rPr>
          <w:b/>
        </w:rPr>
        <w:t>E. 1</w:t>
      </w:r>
    </w:p>
    <w:p>
      <w:r>
        <w:t>remise de base ([…] % pour les deux périmètres) ;</w:t>
      </w:r>
    </w:p>
    <w:p>
      <w:r>
        <w:rPr>
          <w:b/>
        </w:rPr>
        <w:t>E. 2</w:t>
      </w:r>
    </w:p>
    <w:p>
      <w:r>
        <w:t>remises qualitatives/sur des critères qualitatifs (environ […] % au maximum pour le périmètre Gallimard et […] % pour le périmètre Flammarion) ;</w:t>
      </w:r>
    </w:p>
    <w:p>
      <w:r>
        <w:rPr>
          <w:b/>
        </w:rPr>
        <w:t>E. 3</w:t>
      </w:r>
    </w:p>
    <w:p>
      <w:r>
        <w:t>Les coûts de procédure au sens de l’art. 53a LCart, d’un montant total de CHF 254'865.-, sont mis à charge de Madrigall SA et de ses sociétés affiliées.</w:t>
      </w:r>
    </w:p>
    <w:p>
      <w:r>
        <w:t>La décision doit être notifiée à : − Madrigall SA représentée par Me Benoît Merkt, Me Benjamin Moret et Me Valentin Muller, Lenz &amp; Staehelin, Route de Chêne 30, 1211 Genève 6 − Payot SA représentée par Me Christophe Rapin, Kellerhals Carrard, Place Saint-François 1, case postale, 1001 Lausanne</w:t>
      </w:r>
    </w:p>
    <w:p>
      <w:r>
        <w:t>127</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