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leasing-und-finanzierung-von-fahrzeugen---ford-credit-2021-05-10 vom 10. Mai 2021</w:t>
      </w:r>
    </w:p>
    <w:p>
      <w:r>
        <w:t>WEKO, 2021-05-10, DE</w:t>
      </w:r>
    </w:p>
    <w:p>
      <w:r>
        <w:rPr>
          <w:b/>
        </w:rPr>
        <w:t xml:space="preserve">Quelle: </w:t>
      </w:r>
      <w:r>
        <w:t>https://mcp.opencaselaw.ch/entscheid/weko_leasing-und-finanzierung-von-fahrzeugen---ford-credit-2021-05-10</w:t>
      </w:r>
    </w:p>
    <w:p>
      <w:r>
        <w:t>FR: WEKO leasing-und-finanzierung-von-fahrzeugen---ford-credit-2021-05-10 du 10 mai 2021</w:t>
      </w:r>
    </w:p>
    <w:p>
      <w:r>
        <w:t>IT: WEKO leasing-und-finanzierung-von-fahrzeugen---ford-credit-2021-05-10 del 10 maggio 2021</w:t>
      </w:r>
    </w:p>
    <w:p>
      <w:pPr>
        <w:pStyle w:val="Heading2"/>
      </w:pPr>
      <w:r>
        <w:t>Erwägungen</w:t>
      </w:r>
    </w:p>
    <w:p>
      <w:r>
        <w:rPr>
          <w:b/>
        </w:rPr>
        <w:t>E. 3</w:t>
      </w:r>
    </w:p>
    <w:p>
      <w:r>
        <w:t>Aufl. 2011, Art. 5 N 34. 461 Vgl. CR Concurrence-AMSTUTZ/CARRON/REINERT (Fn 269), Art. 5 N 402. 462 BBl 1995 I 468, 567 Ziff. 231.4; JUHANI KOSTKA, Harte Kartelle, 2010, 441 Rz 1287. 463 Vgl. BSK KG-KRAUSKOPF/SCHALLER (Fn 61), Art. 5 N 375. 464 Vgl. in dem Sinne RPW 2012/3, 660 Rz 34 ff., Recommandations tarifaires de l’Union suisse des professionnels de l’immobilier – Section Neuchâtel. 465 Vgl. Berechnungsformel in Rz 76. 466 Zum Informationsaustausch über vertraglich vereinbarte Gebühren vgl. B.3.4. 467 RPW 2011/4, 589 Rz 429 f., ASCOPA.</w:t>
      </w:r>
    </w:p>
    <w:p>
      <w:r>
        <w:t>111</w:t>
      </w:r>
    </w:p>
    <w:p>
      <w:r>
        <w:t>nachgewiesen werden konnte –,468 ist hier eine umfassende Vergleichbarkeit der ausge- tauschten Preisinformationen gegeben, weil beim Fahrzeugleasing die Informationen einzel- nen Fahrzeugklassen zugeteilt werden können und die Informationen so auch über Fahrzeug- marken hinweg gut vergleichbar sind.469 Zudem konnte für den vorliegenden Fall eine abgestimmte Verhaltensweise hinsichtlich dieser Preise nachgewiesen werden.470 405. Die abgestimmten Verhaltensweisen über Zinssätze, Restwerte und Gebühren sowie die Vereinbarung über die Gebühren bei MWST-Rückerstattungen sind somit als Preisabreden i. S. v. Art. 5 Abs. 3 lit. a KG zu qualifizieren. 406. Selbst wenn davon ausgegangen würde, dass Zinssätze, Restwerte oder Gebühren keine Preise im eigentlichen Sinne, sondern nur einen Preisbestandteil darstellten, würde dies nichts am Ergebnis ändern. Preisbestandteile werden ebenso von der Vermutung in Art. 5 Abs. 3 KG erfasst wie Preise, sofern sie für die Preissetzung nicht vernachlässigbar sind.471 Werden hingegen lediglich unbedeutende Preisbestandteile festgelegt, d. h. solche, die keine bedeutenden Auswirkungen auf den wirksamen Wettbewerb haben und keinen oder nur einen sehr geringen Einfluss auf den Entscheidungsprozess der Konsumenten und Konsumentinnen haben, so fällt dieser Sachverhalt nicht unter den Vermutungstatbestand.472 Sowohl der Zins- satz als auch der Restwert haben vorliegend einen unmittelbaren Einfluss auf die Höhe der zu entrichtenden Leasingraten. Auch Gebühren gehen unmittelbar als Preis zu Lasten der Lea- singnehmerinnen. Es liegen somit, selbst wenn die genannten Wettbewerbsparameter nicht als Preise im eigentlichen Sinne betrachtet werden sollten, zumindest gewichtige Preisbe- standteile vor, sodass auch in diesem Fall das Vorliegen von Preisabreden i. S. v. Art. 5 Abs. 3 lit. a KG zu bejahen wäre. 407. Aus der Qualifikation als Preisabreden folgt, dass für die betroffenen Abreden über Zinssätze, Restwerte und Gebühren sowie über Gebühren bei MWST-Rückerstattungen die Vermutung greift, dass eine Beseitigung wirksamen Wettbewerbs vorliegt. C.6.8.2 Widerlegung der gesetzlichen Vermutung der Wettbewerbsbeseitigung 408.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unter den an der Abrede beteiligten Unternehmen) beste- hen bleibt. Um dies beurteilen zu können, sind zunächst die relevanten Märkte in sachlicher und räumlicher Hinsicht abzugrenzen. C.6.8.2.1 Relevanter Markt 409. Zur Prüfung der Marktverhältnisse wird vorab der relevante Markt in sachlicher und räumlicher Hinsicht abgegrenzt. Die Definition des sachlich relevanten Marktes erfolgt aus Sicht der Marktgegenseite und fokussiert somit auf den strittigen Einzelfall: Massgebend ist, ob aus deren Optik Waren oder Dienstleistungen miteinander im Wettbewerb stehen.473 Dies hängt davon ab, ob sie vom Nachfrager hinsichtlich ihrer Eigenschaften und des vorgesehenen</w:t>
      </w:r>
    </w:p>
    <w:p>
      <w:r>
        <w:t>468 RPW 2011/4, 588 Rz 425 ff., ASCOPA. 469 Vgl. dazu Rz 419 f. 470 Vgl. C.6.3.2. 471 BBl 1995 I 468, 567 Ziff. 231.4; ANDREAS HEINEMANN, Bruttopreisabsprachen, in: 8. Tagung zum Wettbewerbsrecht, Hochreutener/Stoffel/Amstutz (Hrsg.), 2017, 121–145, 132 f. 472 Vgl. Urteil des BVGer B-8399/2010 vom 23.9.2014 E. 5.4.22 m. w. H., Siegenia-Aubi AG/WEKO. 473 BGE 139 I 72, 93 E. 9.2.3.1, Publigroupe SA et al./WEKO; Urteil des BGer 2C.75/2014 vom 28.1.2015 E. 3.2, Hors-Liste Medikamente/Pfizer.</w:t>
      </w:r>
    </w:p>
    <w:p>
      <w:r>
        <w:t>112</w:t>
      </w:r>
    </w:p>
    <w:p>
      <w:r>
        <w:t>Verwendungszwecks als substituierbar erachtet werden, also in sachlicher, örtlicher und zeit- licher Hinsicht austauschbar sind.474 Entscheidend sind die funktionelle Austauschbarkeit (Be- darfsmarktkonzept) von Waren und Dienstleistungen aus Sicht der Marktgegenseite sowie weitere Methoden zur Bestimmung der Austauschbarkeit der Waren und Dienstleistungen aus Nachfragersicht.475 Daneben können auch quantitative Beurteilungsmethoden, wie der SSNIP- Test, herangezogen werden. Auszugehen ist vom Gegenstand der konkreten Untersu- chung.476 (i) Marktgegenseite 410. Ausgehend vom Verfahrensgegenstand ist die Marktgegenseite zu bestimmen, aus de- ren Sicht der relevante Markt abzugrenzen ist. Verfahrensgegenstand ist vorliegend der Infor- mationsaustausch, insbesondere im Zusammenhang mit Leasingzinssätzen und weiteren preisrelevanten Parametern. Die aufgrund der Leasingzinsen entstehenden Kosten werden durch die Leasingnehmerinnen, sprich durch die Endkunden, getragen. Die nachfolgende Marktabgrenzung erfolgt deshalb aus Sicht der Endkunden. (ii) Sachlich relevanter Markt 411. Der sachliche Markt umfasst alle Waren oder Leistungen, die von der Marktgegenseite hinsichtlich ihrer Eigenschaften und Verwendungszwecks als substituierbar angesehen wer- den (Art. 11. Abs. 3 Bst. a VKU477, analog). 412. Hierzu wird nachfolgend zuerst die bisherige Praxis der Wettbewerbsbehörden zu Lea- singdienstleistungen dargestellt. Anschliessend wird aufgezeigt, inwiefern Captives bezüglich der Leasingkonditionen mit Non-Captives sowie anderen Captives in einem Konkurrenzver- hältnis stehen. 1. Bisherige Praxis 413. Die Marktabgrenzung ist zwar in jedem Einzelfall vorzunehmen, die bisherige Praxis kann aber erste Hinweise dafür geben, wie die Marktabgrenzung vorzunehmen ist. Im Rahmen früherer Beurteilungen von Zusammenschlussvorhaben hat die WEKO innerhalb eines Ge- samtmarktes Finanzdienstleistungen verschiedene Teilmärkte identifiziert, die allenfalls noch weiter zu segmentieren sind. Innerhalb des Teilmarktes für Leasing hat sie mehrheitlich dazu tendiert, einen separaten Markt für das Fahrzeug-Leasing abzugrenzen.478 414. Ford Credit bringt diesbezüglich vor, dass es eine Betrachtung von Captives als nicht zueinander in Konkurrenz stehende Unternehmen «gefestigter Praxis» der EU-Kommission entsprechen würde. Hierfür wird in erster Linie ein Entscheid der EU-Kommission479 herange- zogen. Der Fall PEUGEOT / BNP PARIBAS / OPEL VAUXHALL FINCOS behandelt jedoch in</w:t>
      </w:r>
    </w:p>
    <w:p>
      <w:r>
        <w:t>474 DIKE KG-STÄUBLE/SCHRANER (Fn 264), Art. 4 Abs. 2 N 16; BGE 139 I 72, 93 E. 9.2.3.1, Pub- ligroupe SA et al./WEKO; BGE 129 II 18, 33 f. E. 7.3.1, Buchpreisbindung. 475 BGE 139 I 72, 93 E. 9.2.3.1, Publigroupe SA et al./WEKO. 476 BGE 139 I 72, 93 E. 9.2.3.1, Publigroupe SA et al./WEKO. 477 Verordnung vom 17.6.1996 über die Kontrolle von Unternehmenszusammenschlüssen (VKU; SR 251.4). 478 Vgl. hierzu RPW 2015/1, 88 f. Rz 12, Santander Consumer Finance S.A./Peugeot S.A.; letzterer Entscheid verweist auf: RPW 2012/1, 121 Rz 17 ff., Bank Sarasin &amp; Cie AG/B. Safra Luxembourg SA i. V. m. RPW 2009/1, 68 Rz 58 ff., BNP Paribas/Entités Fortis SA und RPW 2007/1, 83 Rz 19 ff., Crédit Agricole SA/Fiat Auto S.p.A. 479 Entscheid der EU-KOMM, M.8460 vom 8.8.2017, PEUGEOT / BNP PARIBAS / OPEL VAUXHALL FINCOS.</w:t>
      </w:r>
    </w:p>
    <w:p>
      <w:r>
        <w:t>113</w:t>
      </w:r>
    </w:p>
    <w:p>
      <w:r>
        <w:t>keinem relevanten Umfang den Bereich Leasing: Leasing wird nur an zwei Stellen480 im Rah- men von allgemeinen Ausführungen, mit Verweis auf die vorherige Praxis der EU-Kommission erwähnt, wonach innerhalb des Bereichs Leasing eine Betrachtung eines Teilmarktes für Fahr- zeug-Leasing denkbar wäre. Die konkreteren Marktbetrachtungen betreffen explizit den sepa- raten Bereich des «motor vehicle lending», d. h. eine Kreditfinanzierung von Fahrzeugen. Auch schon deshalb ist dieser Entscheid für die vorliegende Problematik, wenn überhaupt, nur beschränkt heranzuziehen. Auch wurde die Marktabgrenzung, wie immer bei Phase I-Prüfun- gen, schlussendlich explizit offengelassen. Derselbe Zusammenschluss wurde im Übrigen auch durch die WEKO im Rahmen einer vorläufigen Prüfung analysiert. Hierbei wurde von einem sachlich relevanten Markt für Automobil-Leasing ausgegangen.481 Auch die Darstellung des Entscheids der EU-Kommission aus dem Jahr 2003 i. S. INTESA / CAPITALIA / IMI INVESTIMENTI / UNICREDITO / FIDIS RETAIL durch Ford Credit ist entsprechend nicht ein- schlägig: So betrifft auch dieser Entscheid den Bereich von Konsumkrediten zwecks Finanzie- rung vom Kauf von Automobilen.482 Sodann wird auch in diesem Entscheid explizit festgehal- ten, dass die entsprechende Fragestellung aufgrund der vorgenommenen Marktanalyse nicht abschliessend beantwortet werden kann und dementsprechend offen gelassen wird.483 415. Hingegen ist auch die EU-Kommission im Automobil-Bereich sowohl vor, als auch nach dem PEUGEOT / BNP PARIBAS / OPEL VAUXHALL FINCOS-Entscheid von einem Markt für Leasing, allenfalls unterteilt in Operating Leasing versus Financial Leasing, ausgegangen.484 Danach namentlich i. S. DAIMLER / BMW / CAR SHARING JV.485 Zuvor beispielsweise i. S. VOLKSWAGEN FINANCIAL SERVICES / D'IETEREN / VOLKSWAGEN D'IETEREN FINANCE JV.486 416. Zusammenfassend entspricht eine Betrachtung eines sachlich relevanten Marktes für Fahrzeugleasing der einschlägigen Praxis der WEKO sowie der EU-Kommission. 2. Konkurrenzverhältnis zwischen Captives und Non-Captives 417. Endkunden haben – unabhängig von der Marke des Leasing-Fahrzeugs – immer die Möglichkeit, beim Leasing zwischen den Angeboten der jeweiligen Captives und den verschie- denen Non-Captives zu wählen. So sind die grundlegenden Dienstleistungen und Rahmenbe- dingungen hinsichtlich des Leasings von Captives weitestgehend vergleichbar mit denjenigen von Non-Captives. Bei Konkurrenzanalysen seitens der Captives wurden Vergleiche mit den Konditionen von Non-Captives regelmässig vorgenommen. Das Bestehen eines Konkurrenz-</w:t>
      </w:r>
    </w:p>
    <w:p>
      <w:r>
        <w:t>480 Entscheid der EU-KOMM, M.8460 vom 8.8.2017, Rz 15 und 17, PEUGEOT / BNP PARIBAS / OPEL VAUXHALL FINCOS. 481 Vgl. RPW 2017/4, 575 Rz 18 m. w. H., Peugeot S.A./BNP Paribas S.A./Opel/Vauxhall-Fincos. 482 «[…] quello del credito al consumo per il finanziamento dell’acquisto di autoveicoli […]», siehe En- tscheid der EU-KOMM, M.3067 vom 25.4.2003, Rz 45, INTESA / CAPITALIA / IMI INVESTIMENTI / UNICREDITO / FIDIS RETAIL. 483 «L’analisi di mercato svolta dalla Commissione non ha in ogni modo fornito risposte univoche ri- guardo alla questione in esame, e pertanto non permette di dare una risposta definitiva al problema se gli operatori “captive” e “merchant” competano o meno nello stesso mercato. La concentrazione notificata viene pertanto esaminata nei vari scenari possibili.», siehe Entscheid der EU-KOMM, M.3067 vom 25.4.2003, Rz 45, INTESA / CAPITALIA / IMI INVESTIMENTI / UNICREDITO / FIDIS RETAIL. 484 Wobei das vorliegend betrachtete Fahrzeugleasing gemäss der Definition der EU-Kommission ei- nem «Operating Leasing» entspricht. 485 Entscheid der EU-KOMM, M.8744 vom 7.11.2018, Rz 83 f. m. w. H., DAIMLER / BMW / CAR SHARING JV. 486 Entscheid der EU-KOMM, COMP/M.6436 vom 20.12.2011, Rz 15–31 m. w. H., VOLKSWAGEN FINANCIAL SERVICES / D'IETEREN / VOLKSWAGEN D'IETEREN FINANCE JV.</w:t>
      </w:r>
    </w:p>
    <w:p>
      <w:r>
        <w:t>115</w:t>
      </w:r>
    </w:p>
    <w:p>
      <w:r>
        <w:t>421. Diese E-Mail zeigt auf, dass die Captives (in casu Ford Credit) selber in ihrer Konkur- renzanalyse nicht zwischen Captives und Non-Captives unterschieden haben und die Ange- bote der anderen Captives massgebend für das eigene Marktverhalten waren. 422. Ein weiteres Beispiel eines Konkurrenzvergleichs hinsichtlich Leasingkonditionen der Captives ist eine von Ford Credit im Jahr 2010 erstellte «Competitive Overview», welche bei Ford Credit sowohl für die Marke Ford als auch für die Marke Volvo verwendet wurde.489 Die- ses Dokument enthält detaillierte Angaben zu modellspezifischen Sonderzinssätzen der an- deren Captives:</w:t>
      </w:r>
    </w:p>
    <w:p>
      <w:r>
        <w:t>Abbildung 88: Quelle: […] (Excel-Datei «Leasing Offers Competitive OverviewQ4 2010.xls»). 423. Vor diesem Hintergrund kann – spiegelbildlich zur Situation auf den Produktemärkten für Automobile490 – von einem Konkurrenzverhältnis zwischen Captives verschiedener Marken ausgegangen werden. Dass hinsichtlich von Leasingkonditionen ein eigentlicher Interbrand- Wettbewerb herrscht zeigt sich auch schon allein aufgrund der Tatsache, dass Leasingkondi- tionen und insbesondere konkrete (Sonder-)Zinssätze in Rahmen von Promotionsaktivitäten prominent beworben werden. Solche Werbung unter Nennung konkreter (Sonder-)Zinssätze zielt gerade darauf ab, die Endkunden zum Kauf eines Fahrzeugs beispielsweise von Ford anstatt von Volkswagen zu bewegen. Diesbezüglich hält auch Ford Credit in der Stellung- nahme explizit fest, dass von ihr erwartet werde, dass sie den Absatz ihrer Fahrzeuge mit attraktiven Angeboten für die Kunden fördere. Dies spricht im Übrigen auch gegen die eben- falls von Ford Credit in der Stellungnahme vorgebrachte These, wonach die Leasingkonditio- nen im Wesentlichen erst nach dem Entscheid für ein Fahrzeug und dem entsprechenden Fahrzeugpreis von Relevanz sind. 424. Auch der Inhalt des Informationsaustausches selbst spricht gegen die Behauptung, Cap- tives würden lediglich gegenüber Non-Captives als Konkurrenten auftreten. Schliesslich würde es der wirtschaftlichen Logik widersprechen, mit einem erheblichen Aufwand einen Austausch über Preise und Konditionen aufrechtzuerhalten, obwohl die Beteiligten nicht in einem Konkur- renzverhältnis zueinanderstehen.</w:t>
      </w:r>
    </w:p>
    <w:p>
      <w:r>
        <w:t>489 Vgl. hierzu Rz 274 ff. 490 Vgl. Ziff. 6 der Erläuterungen der Wettbewerbskommission vom 29.6.2015 zur Bekanntmachung über die wettbewerbsrechtliche Behandlung von vertikalen Abreden im Kraftfahrzeugsektor (Erläu- terungen zur KFZ-Bek), &lt;www.weko.admin.ch&gt; &gt; Dokumentation &gt; Bekanntmachungen/Erläute- rungen (8.5.2020); vgl. RPW 2012/3, 559 ff. Rz 173 ff., BMW, bestätigt durch Urteil des BVGer B- 2157/2006 vom 13.11.2015 E. 7, Bayerische Motoren Werke AG/WEKO.</w:t>
      </w:r>
    </w:p>
    <w:p>
      <w:r>
        <w:t>116</w:t>
      </w:r>
    </w:p>
    <w:p>
      <w:r>
        <w:t>425. Schliesslich lässt die diesbezügliche Argumentation von Ford Credit ausser Acht, dass Art. 5 Abs. 3 KG für Unternehmen gilt, die «[...] tatsächlich oder der Möglichkeit nach mitei- nander im Wettbewerb stehen». Selbst bei Berücksichtigung des Arguments, dass Captives aktuell nicht miteinander im Wettbewerb stünden, kann nicht ausgeschlossen werden, dass diese ihr Geschäftsmodell relativ kurzfristig ändern und auch Leasings von gruppenfremden Fahrzeugen finanzieren könnten. Es gibt keine Schranken oder Hindernisse, welche sie daran hindern, das Geschäftsmodell auszuweiten, wie dies bei einem Teil der Captives bereits der Fall ist: So finanzieren gewisse Captives Occasionsfahrzeuge aller Marken.491 Vor diesem Hin- tergrund ist auch eine Segmentierung des Marktes in Neufahrzeuge sowie Occasionsfahr- zeuge nicht angezeigt. Eine derartige Segmentierung würde auch nichts am Ergebnis der vor- liegenden Verfügung ändern, zumal der Informationsaustausch die bei Occasionsfahrzeugen, namentlich auch bei Ford Credit, typischerweise zur Anwendung kommenden Standardzinss- ätze umfasste. Auch die Preisbestandteile betreffend Gebühren und Restwerte kommen bei Occasionsfahrzeugen gleichermassen wie bei Neufahrzeugen zur Anwendung. 426. Auch eine Segmentierung des Leasingmarktes in verschiedene Teilmärkte für jeweils unterschiedliche Fahrzeugklassen wäre, analog zur praxisgemässen Einteilung nach Fahr- zeugklassen in den entsprechenden Produktemärkten, denkbar. So ging die WEKO in ihrer Praxis zu Personenwagen nicht von einem Gesamtmarkt aus, sondern vielmehr von einer Un- terteilung in unterschiedliche Märkte nach Fahrzeugklassen wie «Kleinwagen», «untere Mit- telklasse» und «Luxusklasse».492 Auch die Captives betrachten bei konkreten Konkurrenzver- gleichen teilweise nur konkurrierende Marken innerhalb bestimmter Marktsegmente.493 Da der Informationsaustausch allerdings sämtliche Fahrzeugklassen betraf, erübrigt sich im vorlie- genden Fall eine weitergehende Segmentierung. 427. Zusammengefasst sind Captives – zumal sich die durch sie vertretenen Fahrzeugmar- ken auf den Automobilmärkten bezüglich der Preise für Fahrzeuge ebenfalls konkurrenzie- ren – hinsichtlich der Höhe der vorliegend betrachteten Leasingzinssätze, Restwerte und Ge- bühren dem Wettbewerb zwischen den jeweiligen Fahrzeugmarken ausgesetzt und dementsprechend als Konkurrenten zu betrachten.</w:t>
      </w:r>
    </w:p>
    <w:p>
      <w:r>
        <w:rPr>
          <w:b/>
        </w:rPr>
        <w:t>E. 4</w:t>
      </w:r>
    </w:p>
    <w:p>
      <w:r>
        <w:t>Schlussfolgerungen zum sachlich relevanten Markt 428. Zusammenfassend kann von einem sachlich relevanten Markt für Automobilleasing aus- gegangen werden, welcher die Leasing-Dienstleistungen sowohl von Captives als auch von Non-Captives umfasst. (iii) Räumlich relevanter Markt 429. Der räumliche Markt umfasst das Gebiet, in welchem die Marktgegenseite die den sach- lichen Markt umfassenden Waren oder Leistungen nachfragt oder anbietet (Art. 11 Abs. 3 lit. b VKU, der hier analog anzuwenden ist).494 430. Bezüglich des sachlich relevanten Marktes für Automobilleasing existieren nationale re- gulatorische Rahmenbedingungen, weil das Leasing von Fahrzeugen dem Konsumkreditge- setz unterstellt ist. So sind beispielsweise in Art. 11 KKG Anforderungen bezüglich Form und Inhalt von Leasingverträgen festgelegt. Ein grenzüberschreitendes Leasing, d. h. von Leasing- gesellschaften mit Sitz im Ausland für Fahrzeuge in der Schweiz, findet nicht statt. Sowohl</w:t>
      </w:r>
    </w:p>
    <w:p>
      <w:r>
        <w:t>491 […]. 492 Vgl. RPW 2012/3, 559 ff. Rz 173 ff., BMW. 493 […]. 494 BGE 139 I 72, 92 E. 9.2.1 m. w. H., Publigroupe SA et al./WEKO.</w:t>
      </w:r>
    </w:p>
    <w:p>
      <w:r>
        <w:t>117</w:t>
      </w:r>
    </w:p>
    <w:p>
      <w:r>
        <w:t>Captives als auch Non-Captives sind – teilweise mit Hilfe von nationalen (Tochter-)Gesell- schaften – ausschliesslich gegenüber Endkunden in der Schweiz tätig. Zudem bedingt auch die Betreuung von Händlern, wie bspw. die Beratung und individuelle Händlerbesuche, eine gewisse geographische Nähe. Umgekehrt ist innerhalb der Schweiz keine regionale Differen- zierung hinsichtlich der Leasingkonditionen ersichtlich, was gegen eine weitere Unterteilung des räumlich relevanten Marktes spricht. Der räumlich relevante Markt ist daher, auch entspre- chend der bisherigen Praxis der WEKO495, national abzugrenzen. (iv) Fazit 431. Basierend auf den Erkenntnissen aus der vorliegenden Untersuchung kann vorliegend von einem nationalen Markt für Automobilleasing, welcher Dienstleistungen sowohl von Cap- tives als auch von Non-Captives umfasst, ausgegangen werden. C.6.8.2.2 Aussen- und Innenwettbewerb 432.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unter den an der Abrede beteiligten Unternehmen) beste- hen bleibt. 433. Basierend auf der oben vorgenommenen Abgrenzung des relevanten Marktes kann fest- gehalten werden, dass die Captives in Konkurrenz mit den Non-Captives stehen, welche nicht am untersuchten Informationsaustausch teilgenommen haben. Letztere machen einen nicht vernachlässigbaren Anteil am vorliegend betrachteten Markt aus und bieten ihre Dienstleis- tungen für Fahrzeuge aller Marken an. Es besteht daher Aussenwettbewerb in der Form aktu- eller Konkurrenz durch die Non-Captives. 434. Aufgrund des verbleibenden Aussenwettbewerbs kann die Vermutung der Wettbewerbs- beseitigung widerlegt werden. C.6.8.3 Zwischenergebnis 435. Die Vermutung der Beseitigung wirksamen Wettbewerbs kann aufgrund des Wettbe- werbs durch die Non-Captives widerlegt werden. Es gilt daher zu prüfen, ob eine erhebliche Beeinträchtigung des Wettbewerbs vorliegt. C.6.9 Erhebliche Beeinträchtigung des Wettbewerbs 436. Abreden, die den Wettbewerb auf einem Markt für bestimmte Waren oder Leistungen erheblich beeinträchtigen und sich nicht durch Gründe der wirtschaftlichen Effizienz rechtferti- gen lassen, sind unzulässig (Art. 5 Abs. 1 KG). 437. Das Bundesgericht hat im Gaba-Urteil festgehalten, dass das Kriterium der Erheblichkeit eine Bagatellklausel ist. Die in Art. 5 Abs. 3 und 4 KG aufgeführten besonders schädlichen Abreden erfüllen grundsätzlich das Kriterium der Erheblichkeit nach Art. 5 Abs. 1 KG.496 Dies gilt ohne Bezug auf einen Markt bzw. ungeachtet einer Marktabgrenzung.497 Mit anderen Wor-</w:t>
      </w:r>
    </w:p>
    <w:p>
      <w:r>
        <w:t>495 Vgl. RPW 2017/4, 575 Rz 18 m. w. H., Peugeot S.A./BNP Paribas S.A./Opel/Vauxhall-Fincos. 496 BGE 143 II 297, 324 E. 5.1, Gaba; bestätigt in Urteil des BGer 2C_63/2016 vom 24.10.2017 E. 4.3.1, BMW; zuletzt Entscheid der WEKO vom 2.10.2017, Rz 131, Hoch- und Tiefbauleistungen Engadin V, &lt;www.weko.admin.ch&gt; &gt; Aktuell &gt; letzte Entscheide (30.11.2018). 497 BGE 143 II 297, 324 E. 5.5, Gaba.</w:t>
      </w:r>
    </w:p>
    <w:p>
      <w:r>
        <w:t>118</w:t>
      </w:r>
    </w:p>
    <w:p>
      <w:r>
        <w:t>ten sind solche Wettbewerbsabreden grundsätzlich bereits aufgrund ihres Gegenstandes er- heblich.498 Es ist nicht erforderlich, dass sich die betreffenden Abreden tatsächlich negativ auf den Wettbewerb auswirken. Es genügt, dass sie den Wettbewerb potenziell beeinträchtigen können.499 438. Es wurde bereits aufgezeigt, dass die von Ford Credit und den übrigen Captives prakti- zierten abgestimmten Verhaltensweise hinsichtlich Zinssätze, Restwerte und Gebühren sowie die Vereinbarung über Gebühren bei MWST-Rückerstattungen Preisabreden i. S. v. Art. 5 Abs. 3 lit. a KG darstellen. Diese Abreden können wegen der Gesamtumstände, namentlich aufgrund der Marktabdeckung der Captives sowie der umfassenden Preisabreden über Zinss- ätze, Restwerte und Gebühren nicht als Bagatelle qualifiziert werden. C.6.10 Zwischenergebnis 439. Es liegen – im Rahmen der Gesamtabrede – den Wettbewerb erheblich beeinträchti- gende abgestimmte Verhaltensweisen zwischen Ford Credit und den übrigen Captives zu Zinssätzen, Restwerten und Gebühren im Sinne von Art. 5 Abs. 3 lit. a i. V. m. Abs. 1 KG sowie eine Vereinbarung zwischen Ford Credit und den anderen Captives zu Gebühren bei einer MWST-Rückerstattung im Sinne von Art. 5 Abs. 3 lit. a i. V. m. Abs. 1 KG vor. 440. Im Folgenden ist zu untersuchen, ob sich die Abrede aus Gründen der wirtschaftlichen Effizienz rechtfertigen lässt. C.6.11 Rechtfertigung aus Effizienzgründen 441. Wettbewerbsabreden sind gemäss Art. 5 Abs. 2 KG durch Gründe der wirtschaftlichen Effizienz gerechtfertigt, wenn sie: 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442. Aus Art. 5 Abs. 2 lit. a KG geht hervor, dass die Abrede notwendig gewesen sein muss, damit sie aus Gründen der wirtschaftlichen Effizienz gerechtfertigt werden kann. Bei Marktin- formationssystemen müssen die ausgetauschten Daten in Bezug auf ihre Charakteristika so beschaffen sein, «dass sie nur mit den Risiken verbunden sind, die im Hinblick auf die Ver- wirklichung der geltend gemachten Effizienzgewinne unerlässlich sind».500 Selbst wenn im vor- liegenden Fall ein Informationsaustausch zu einer Steigerung der Effizienz hätte führen kön- nen, so wäre ein solcher Effekt bereits mit aggregierten Daten möglich gewesen.501 Der praktizierte Informationsaustausch war in dieser Form daher nicht notwendig. Es sind auch</w:t>
      </w:r>
    </w:p>
    <w:p>
      <w:r>
        <w:t>498 BGE 143 II 297, 315 E. 5.2, Gaba; bestätigt in Urteil des BGer 2C_63/2016 vom 24.10.2017 E. 4.3.1, BMW; Urteil des BGer 2C_1017/2014 vom 9.10.2017 E. 3.1, Paul Koch AG/WEKO; Urteil des BGer 2C_1016/2014 vom 9.10.2017 530 f. E. 3.1, Siegenia-Aubi AG/WEKO; zuletzt Entscheid der WEKO vom 2.10.2017, Rz 131, Hoch- und Tiefbauleistungen Engadin V, &lt;www.weko.ad- min.ch&gt; &gt; Aktuell &gt; letzte Entscheide (30.11.2018). 499 BGE 143 II 297, 323 f. E. 5.4.2, Gaba; bestätigt in Urteil des BGer 2C_63/2016 vom 24.10.2017 E. 4.3.2, BMW; zuletzt Entscheid der WEKO vom 2.10.2017, Rz 131, Hoch- und Tiefbauleistungen Engadin V, &lt;www.weko.admin.ch&gt; &gt; Aktuell &gt; letzte Entscheide (30.11.2018). 500 EU-Horizontalleitlinien (Fn 289), Rz 101. 501 Vgl. MASSIMO MOTTA, Competition Policy: Theory and Practice, 2004, 152.</w:t>
      </w:r>
    </w:p>
    <w:p>
      <w:r>
        <w:t>119</w:t>
      </w:r>
    </w:p>
    <w:p>
      <w:r>
        <w:t>keine weiteren Effizienzgründe ersichtlich, welche üblicherweise mit prokompetitiven Informa- tionsaustauschen erreicht werden können. So handelt es sich insbesondere nicht um ein Kos- tenbenchmarking, welches es den Unternehmen erlaubt hätte, ihre Kosten zu optimieren. 443. Die vorliegende Prüfung ergibt, dass keine Rechtfertigungsgründe für die Preisabreden zwischen den Captives ersichtlich sind. C.6.12 Ergebnis 444. Mangels Rechtfertigung aus Effizienzgründen sind die Preisabreden zwischen Ford Cre- dit und den übrigen Captives in Form abgestimmter Verhaltensweisen hinsichtlich Zinssätze, Restwerte und Gebühren sowie in Form einer Vereinbarung über Gebühren bei Rückerstat- tungen der MWST unzulässig nach Art. 5 Abs. 3 lit. a i. V. m. Abs. 1 KG. C.7 Massnahmen 445. Nach Art. 30 Abs. 1 KG entscheidet die WEKO über die zu treffenden Massnahmen oder die Genehmigung einer EVR. Massnahmen in diesem Sinn sind sowohl Anordnungen zur Be- seitigung von unzulässigen Wettbewerbsbeschränkungen (vgl. Rz 446 f.) als auch monetäre Sanktionen (vgl. Rz 450 ff.). C.7.1 Anordnung von Massnahmen 446.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genügen, weshalb die Massnahmen von der Art und Intensität des konkreten Wettbewerbsverstosses abhängig sind.502 447. Aus den Erwägungen resultiert, dass Ford Credit zwischen Juli 2006 und März 2014 im Rahmen einer Gesamtabrede an einem Informationsaustausch teilgenommen hat. Dieser In- formationsaustausch betraf insbesondere Preisabreden in Form abgestimmter Verhaltenswei- sen bezüglich Zinssätzen, Restwerten und Gebühren respektive in Form einer Vereinbarung über die Gebühren bei MWST-Rückerstattungen. 448. Ford Credit wird untersagt, sich mit anderen Anbietern von Fahrzeug-Leasing auf dem Leasingmarkt Schweiz über Zinssätze, Restwerte, und Gebühren in einer unzulässigen Weise im Sinne von Art. 5 Abs. 3 lit. a KG in Verbindung mit Art. 5 Abs. 1 KG auszutauschen (vgl. C.6.3 und C.6.4). 449. Verstösse bzw. Widerhandlungen gegen die vorliegend angeordneten Massnahmen können nach Massgabe von Art. 50 bzw. 54 KG mit einer Verwaltungs- bzw. Strafsanktion belegt werden. Diese Sanktionierbarkeit ergibt sich ohne Weiteres aus dem Gesetz selber, weshalb auf eine entsprechende – lediglich deklaratorische und nicht konstitutive – Sanktions- androhung im Dispositiv verzichtet werden kann.503</w:t>
      </w:r>
    </w:p>
    <w:p>
      <w:r>
        <w:t>502 RPW 2013/4, 643 Rz 1028 ff., Wettbewerbsabreden im Strassen- und Tiefbau im Kanton Zürich; RPW 2015/2, 235 Rz 266 ff., Tunnelreinigung; BSK KG-ZIRLICK/TAGMANN (Fn 61), Art. 30 N 58 f. 503 Vgl. Entscheid der REKO/WEF vom 9.6.2005, RPW 2005/3, 530 E. 6.2.6, Telekurs Multi- pay/WEKO; Urteil des BVGer B-2157/2006 vom 3.10.2007 E. 4.2.2, Flughafen Zürich AG (Uni- que)/WEKO.</w:t>
      </w:r>
    </w:p>
    <w:p>
      <w:r>
        <w:t>120</w:t>
      </w:r>
    </w:p>
    <w:p>
      <w:r>
        <w:t>C.7.2 Sanktionierung C.7.2.1 Allgemeines 450. Aufgrund ihrer ratio legis sollen die in Art. 49a ff. KG vorgesehenen Verwaltungssankti- onen – und dabei insbesondere die mit der Revision 2003 eingeführten direkten Sanktionen bei besonders schädlichen kartellrechtlichen Verstössen – die wirksame Durchsetzung der Wettbewerbsvorschriften sicherstellen und mittels ihrer Präventivwirkung Wettbewerbs- verstösse verhindern.504 Direktsanktionen können nur zusammen mit einer Endverfügung, wel- che die Unzulässigkeit der fraglichen Wettbewerbsbeschränkung feststellt, verhängt wer- den.505 451. Aufgrund der Sanktionierbarkeit handelt es sich beim Kartellverfahren um ein Administ- rativverfahren mit strafrechtsähnlichem Charakter, nicht jedoch um reines Strafrecht. Die ent- sprechenden Garantien von Art. 6 und 7 EMRK506 und Art. 30 bzw. 32 BV507 sind demnach grundsätzlich im gesamten Verfahren anwendbar; über deren Tragweite ist jeweils bei der Prüfung der einzelnen Garantien zu befinden.508 C.7.2.2 Tatbestand von Art. 49a Abs. 1 KG 452. Die Belastung der Verfahrensparteien mit einer Sanktion setzt voraus, dass sie den Tat- bestand von Art. 49a Abs. 1 KG erfüllen. Danach wird ein Unternehmen, welches an einer unzulässigen Abrede nach Art. 5 Abs. 3 bzw. 4 KG beteiligt ist oder sich nach Art. 7 KG unzu- lässig verhält, mit einer Sanktion belastet. C.7.2.2.1 Unternehmen 453. Die unzulässigen Wettbewerbsbeschränkungen, auf welche Art. 49a Abs. 1 KG Bezug nimmt, müssen von einem «Unternehmen» begangen werden. Für den Unternehmensbegriff wird auf Art. 2 Abs. 1 und 1bis KG abgestellt.509 454. Ford Credit hat sich an den festgestellten unzulässigen Wettbewerbsabreden beteiligt und war zum Tatzeitpunkt als Unternehmen im Sinne von Art. 2 Abs. 1 und 1bis KG zu qualifi- zieren (vgl. Rz 216). C.7.2.2.2 Unzulässige Verhaltensweise im Sinne von Art. 49a Abs. 1 KG 455. Nach Art. 49a Abs. 1 KG wird ein Unternehmen, welches an einer unzulässigen Abrede nach Art. 5 Abs. 3 bzw. 4 KG beteiligt ist oder sich nach Art. 7 KG unzulässig verhält, mit einer Sanktion belastet. Eine Sanktionierung der hier interessierenden ersten in Art. 49a Abs. 1 KG erwähnten Tatbestandsvariante ist an folgende zwei Voraussetzungen geknüpft: Erstens an</w:t>
      </w:r>
    </w:p>
    <w:p>
      <w:r>
        <w:t>504 Botschaft vom 7.11.2001 über die Änderung des Kartellgesetzes, BBl 2002 2022 ff., insbesondere 2023, 2033 ff. und 2041; STEFAN BILGER, Das Verwaltungsverfahren zur Untersuchung von Wettbe- werbsbeschränkungen, 2002, 92. 505 BBl 2002 2022, 2034 Ziff. 2.1.1. 506 Konvention vom 4.11.1950 zum Schutze der Menschenrechte und Grundfreiheiten (Europäische Menschenrechtskonvention, EMRK; SR 0.101). 507 Bundesverfassung der Schweizerischen Eidgenossenschaft vom 18.4.1999 (Bundesverfassung, BV; SR 101). 508 BGE 139 I 72, 78 ff. E. 2.2.2, Publigroupe SA et al./WEKO; Urteil des BVGer B-506/2010 vom 19.12.2013 E. 14, Gaba/WEKO; Urteil des BVGer B-463/2010 vom 19.12.2013 E. 12, Ge- bro/WEKO. 509 Statt vieler: OFK KG-BORER (Fn 460), Art. 49a N 6.</w:t>
      </w:r>
    </w:p>
    <w:p>
      <w:r>
        <w:t>121</w:t>
      </w:r>
    </w:p>
    <w:p>
      <w:r>
        <w:t>die Beteiligung an einer Abrede über Preise, Mengen oder die Aufteilung von Märkten im Sinne von Art. 5 Abs. 3 oder 4 KG sowie zweitens an die Unzulässigkeit dieser Abrede.510 Nicht mas- sgebend für die Frage der Sanktionierbarkeit ist, ob die unzulässigen Abreden zu einer Besei- tigung des wirksamen Wettbewerbs oder zu einer erheblichen Beeinträchtigung des Wettbe- werbs geführt haben.511 456.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Wettbewerb be- seitigt oder «nur» erheblich beeinträchtigt wird. Die Entstehungsgeschichte dieser Norm be- stätigt, dass dieser Gesetzeswortlaut effektiv auch dem vom Gesetzgeber Gewollten ent- spricht.512 Das Bundesgericht hat in seinem Urteil Gaba513 die bisherige Praxis der WEKO sowie die Rechtsprechung des Bundesverwaltungsgerichts bestätigt, wonach auch solche Ab- reden direkt sanktionierbar sind.514 457. Bezüglich dieser zwei Voraussetzungen sei im Einzelnen zur Vermeidung von Redun- danzen auf die vorangehenden Ausführungen verwiesen. Zusammenfassend sei hier festge- halten, dass diese Voraussetzungen erfüllt sind. C.7.2.3 Vorwerfbarkeit 458. Gemäss der bundesgerichtlichen Rechtsprechung515, welcher das Bundesverwaltungs- gericht gefolgt ist516, stellt Verschulden im Sinne von Vorwerfbarkeit das subjektive Tatbe- standsmerkmal von Art. 49a Abs. 1 KG dar. Massgebend für das Vorliegen von Verschulden im Sinne von Vorwerfbarkeit ist gemäss dieser Rechtsprechung ein objektiver Sorgfaltsmangel bzw. ein Organisationsverschulden, an dessen Vorliegen jedoch keine allzu hohen Anforde- rungen zu stellen sind. 459. Ist ein Kartellrechtsverstoss nachgewiesen, so ist im Regelfall auch ein objektiver Sorg- faltsmangel bzw. ein Organisationsverschulden gegeben. Nur in seltenen Fällen wird keine</w:t>
      </w:r>
    </w:p>
    <w:p>
      <w:r>
        <w:t>510 Vgl. ROGER ZÄCH, Die sanktionsbedrohten Verhaltensweisen nach Art. 49a Abs. 1 KG, in: Kartell- gesetzrevision 2003 – Neuerungen und Folgen, Stoffel/Zäch (Hrsg.), 2004, 23–68, 34. 511 BGE 143 II 297, 337 ff. E. 9, Gaba. 512 BBl 2002 2022, 2037 Ziff. 2.1.3; statt vieler BSK KG-TAGMANN/ZIRLICK (Fn 61), Art. 49a N 6 ff. m. w. H. 513 BGE 143 II 297, Gaba. 514 Vgl. RPW 2009/2, 155 Rz 86, Sécateurs et cisailles; RPW 2010/1, 108 Rz 332, Gaba; RPW 2012/2, 401 Rz 1069 Fn 236, Wettbewerbsabreden im Strassen- und Tiefbau im Kanton Aargau; Urteil des BVGer B-506/2010 vom 19.12.2013 E. 14.2, Gaba/WEKO; Urteil des BVGer B-463/2010 vom 19.12.2013 E. 13.1, Gebro/WEKO. 515 Urteil des BGer 2C_484/2010 vom 29.6.2012 E. 12.2.2 (nicht publizierte Erwägung in BGE 139 I 72), Publigroupe SA et al./WEKO; vgl. zur Entwicklung der Rechtsprechung hinsichtlich Vorwerf- barkeit RPW 2006/1, 169 ff. Rz 197 ff., Flughafen Zürich AG (Unique); Urteil des BVGer B- 2157/2006 vom 3.10.2007 E. 4.2.6, Flughafen Zürich AG (Unique)/WEKO; RPW 2011/1, 189 Rz 557 Fn 546, SIX/DCC; RPW 2007/2, 232 ff. Rz 306 ff., insbesondere Rz 308 und 314, Richtli- nien des Verbandes schweizerischer Werbegesellschaften VSW über die Kommissionierung von Berufsvermittlern; Urteil des BVGer B-2977/2007 vom 27.4.2007 E. 8.2.2.1, Publigroupe SA und Mitbeteiligte/WEKO. 516 Urteil des BVGer B-506/2010 vom 19.12.2013 E. 14.3.5, Gaba/WEKO; Urteil des BVGer B- 463/2010 vom 19.12.2013 E. 13.2.5, Gebro/WEKO.</w:t>
      </w:r>
    </w:p>
    <w:p>
      <w:r>
        <w:t>122</w:t>
      </w:r>
    </w:p>
    <w:p>
      <w:r>
        <w:t>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verhindern.517 Ein objektiver Sorgfaltsmangel bzw. Organisationsverschul- den liegt nach bundesgerichtlicher Rechtsprechung insbesondere dann vor, wenn ein Unternehmen ein Verhalten an den Tag legt oder weiterführt, obwohl es sich bewusst ist oder sein müsste, dass das Verhalten möglicherweise kartellrechtswidrig sein könnte.518 460. Die Untersuchung ergab, dass die Mitarbeitenden von Ford Credit, welche an den Cap- tive-Meetings teilgenommen haben und die mittels des Informationsaustausches erlangten In- formationen erhielten, Kadermitglieder waren. So haben seitens Ford Credit insbesondere die Herren […] (vormaliger […], […] ([…] des Unternehmens) und […] ([…])519 an den Captive- Meetings sowie an den weiteren Informationsaustauschen bzw. an der Vereinbarung zwischen den Captives teilgenommen. 461. Dass sich die seitens Ford Credit Beteiligten einer zumindest kartellrechtlich heiklen Ver- haltensweise bewusst waren, zeigt sich insbesondere darin, dass diese auch nach dem Rück- zug von […] aus den Captive-Meetings – welcher erklärtermassen vor dem Hintergrund kar- tellrechtlicher Bedenken erfolgte – 520 weiterhin am vorliegenden Informationsaustausch teilnahmen. Zudem war Ford Credit auch an der Löschung von Protokollen521 direkt beteiligt. Ein (Eventual-)Vorsatz bezüglich der vorgenommenen Handlungen ist daher in Bezug auf Ford Credit ohne Weiteres zu bejahen. 462. Schliesslich ist festzuhalten, dass Ford Credit in ihrer Stellungnahme vom 18. Februar 2021 bezüglich der Vorwerfbarkeit – wie auch im Zusammenhang mit der Sanktionierbarkeit im Allgemeinen sowie der konkreten Sanktionsbemessung – geltend macht, dass hierbei eine Praxisänderung seitens der WEKO zu berücksichtigen sei, dies insbesondere gegenüber der Untersuchung i. S. «ASCOPA» und führt hierzu generell aus, dass die WEKO praxisgemäss Informationsaustausche nicht unter dem Blickwinkel von Art. 5 Abs. 3 lit. a KG betrachten würde. Hierzu ist festzuhalten, dass die vorliegend betrachtete Verhaltensweise bereits im Juli 2006 aufgenommen wurde, die Verfügung i. S. «ASCOPA» jedoch erst Ende 2011 erlas- sen wurde. Eine präjudizielle Wirkung dieses Entscheides auf den vorliegenden Sachverhalt kann somit bereits von vornhinein grösstenteils ausgeschlossen werden. Aber auch bei einer näheren Betrachtung der Verfügung i. S. «ASCOPA»w erweist sich die seitens Ford Credit dargelegte Sichtweise als falsch: So werden darin eine Reihe an für den damals vorliegenden Fall relevanten Entscheiden der WEKO aufgeführt, welche nach Massgabe von Art. 5 Abs. 3 lit. a KG als sanktionierbar betrachtet wurden,522 darunter auch solche betreffend Informati- onsaustausche523 sowie einschlägige Fälle von Preisabreden im Sinne von Art. 101 Abs. 1 Bst. a AEUV aus der EU-Praxis524. Darüber hinaus wurde ausgeführt, weshalb im damals vor- liegenden Einzelfall lediglich von einer unzulässigen Wettbewerbsabrede gemäss Art. 5 Abs. 1</w:t>
      </w:r>
    </w:p>
    <w:p>
      <w:r>
        <w:t>517 RPW 2011/1, 189 Rz 558 m. w. H., SIX/DCC. 518 Vgl. Urteil des BVGer B-2977/2007 vom 27.4.2007 E. 8.2.2.1, Publigroupe SA und Mitbetei- ligte/WEKO; Urteil des BGer 2C_484/2010 vom 29.6.2012, RPW 2013/1, 135 E. 12.2.2 (nicht publi- zierte Erwägung in BGE 139 I 72), Publigroupe SA et al./WEKO. 519 Vgl. Rz 102. 520 Vgl. Rz 93. 521 Vgl. Rz 97. 522 Vgl. RPW 2011/4, 586 f. Rz 411–419, ASCOPA. 523 Darunter RPW 2004/3, 726 ff., Markt für Schlachtschweine – Teil B sowie RPW 2012/3, 615 ff., Komponenten für Heiz-, Kühl- und Sanitäranlagen. 524 Vgl. RPW 2011/4, 587 Rz 420, ASCOPA.</w:t>
      </w:r>
    </w:p>
    <w:p>
      <w:r>
        <w:t>123</w:t>
      </w:r>
    </w:p>
    <w:p>
      <w:r>
        <w:t>KG auszugehen sei.525 Dementsprechend wurde auch explizit nicht ausgeschlossen, dass die Wettbewerbsbehörden zukünftig den Austausch sensibler Informationen als Preisabrede qua- lifizieren könnten.526 Zusammenfassend stossen somit sämtliche Vorbringen von Ford Credit im Zusammenhang mit einer angeblichen Praxisänderung seitens der WEKO ins Leere. C.7.2.4 Bemessung 463.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464. Die konkreten Bemessungskriterien und damit die Einzelheiten der Sanktionsbemes- sung werden in der SVKG527 näher präzisiert (vgl. Art. 1 lit. a SVKG). Die Festsetzung des Sanktionsbetrags liegt dabei grundsätzlich im pflichtgemäss auszuübenden Ermessen der WEKO, welches durch die Grundsätze der Verhältnismässigkeit (Art. 2 Abs. 2 SVKG) und der Gleichbehandlung begrenzt wird.528 Die WEKO bestimmt die effektive Höhe der Sanktion nach den konkreten Umständen im Einzelfall, wobei die Geldbusse für jedes an einer Zuwiderhand- lung beteiligte Unternehmen individuell innerhalb der gesetzlich statuierten Grenzen festzule- gen ist.529 C.7.2.4.1 Konkrete Sanktionsberechnung 465. Nach Art. 49a Abs. 1 KG bemisst sich der konkrete Sanktionsbetrag anhand der Dauer und der Schwere des unzulässigen Verhaltens. Angemessen zu berücksichtigen ist zudem auch der durch das unzulässige Verhalten erzielte mutmassliche Gewinn. Die SVKG geht für die konkrete Sanktionsbemessung zunächst von einem Basisbetrag aus, der in einem zweiten Schritt an die Dauer des Verstosses anzupassen ist, bevor in einem dritten Schritt erschwe- renden und mildernden Umständen Rechnung getragen werden kann. (i) Basisbetrag 466.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vorangingen.530 Das Abstel- len auf diese Zeitspanne der Zuwiderhandlung gegen das Kartellgesetz dient nicht zuletzt auch dazu, die erzielte Kartellrente möglichst abzuschöpfen.</w:t>
      </w:r>
    </w:p>
    <w:p>
      <w:r>
        <w:t>525 Vgl. RPW 2011/4, 588 f. Rz 425–430, ASCOPA. 526 Vgl. RPW 2011/4, 589 Rz 430, ASCOPA. 527 Verordnung vom 12.3.2004 über die Sanktionen bei unzulässigen Wettbewerbsbeschränkungen (KG-Sanktionsverordnung, SVKG; SR 251.5). 528 Vgl. PETER REINERT, in: Stämpflis Handkommentar zum Kartellgesetz, Baker &amp; McKenzie (Hrsg.), 2007, Art. 49a KG N 14; sowie RPW 2006/4, 661 Rz 236, Flughafen Zürich AG (Unique) – Valet Parking. 529 RPW 2009/3, 212 f. Rz 111, Elektroinstallationsbetriebe Bern. 530 In diesem Sinne auch RPW 2012/2, 404 f. Rz 1083 Tabelle 3 sowie 407 f. Rz 1097 Tabelle 5, Wettbewerbsabreden im Strassen- und Tiefbau im Kanton Aargau; Verfügung der WEKO vom</w:t>
      </w:r>
    </w:p>
    <w:p>
      <w:r>
        <w:t>124</w:t>
      </w:r>
    </w:p>
    <w:p>
      <w:r>
        <w:t>1. Obergrenze des Basisbetrags (Umsatz auf dem relevanten Markt) 467. Die obere Grenze des Basisbetrags beträgt gemäss Art. 3 SVKG 10 % des Umsatzes, den das betreffende Unternehmen in den letzten drei Geschäftsjahren vor Beendigung der unzulässigen Wettbewerbsbeschränkung auf den relevanten Märkten in der Schweiz erzielt hat. Vorliegend wird auf die seitens Ford Credit in den Geschäftsjahren 2011 bis 2013 erzielten Umsätze auf dem vorliegend betrachteten relevanten Markt abgestellt. 468. Für die Sanktionsberechnung werden die von Ford Credit auf dem nationalen Markt für Automobilleasing erzielten Zinsumsätze herangezogen, wobei dieser Markt konkret Leasing- dienstleistungen für PKWs, leichte Nutzfahrzeuge und Occasionsfahrzeuge dieser Fahrzeug- kategorien umfasst. Für die Sanktionierung werden sämtliche Aktivitäten von Ford Credit auf dem entsprechenden Markt herangezogen, dies unabhängig von der diese Aktivitäten betref- fenden Automobilmarke.531 Bezüglich des Vorbringens von Ford Credit in der Stellungnahme, wonach der Basisbetrag ohne Einbezug von Occasionsfahrzeugen berechnet werden solle, kann auf die entsprechenden Ausführungen im Rahmen der Marktabgrenzung verwiesen wer- den.532 469. Basierend auf den oben genannten Erwägungen beträgt die obere Grenze des Basisbe- trags im vorliegenden Fall somit CHF […]. 2. Berücksichtigung der Art und Schwere des Verstosses 470. Gemäss Art. 3 SVKG ist die aufgrund des Umsatzes errechnete Höhe des Basisbetra- ges je nach Schwere und Art des Verstosses festzusetzen.533 Es gilt deshalb zu prüfen, wie schwer der Verstoss zu qualifizieren ist. 471. Die an den in Frage stehenden Abreden beteiligten Unternehmen haben sich unzulässig im Sinne von Art. 5 Abs. 3 KG verhalten. Im Folgenden gilt es zu prüfen, wie schwer dieser Verstoss gegen das Kartellgesetz zu qualifizieren ist; hierbei stehen objektive534 Faktoren im Vordergrund. 472. Grundsätzlich ist die Schwere der Zuwiderhandlung im Einzelfall unter Berücksichtigung aller relevanten Umstände zu beurteilen. Allgemeine Aussagen zur Qualifizierung konkreter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 tials grundsätzlich im oberen Drittel des möglichen Sanktionsrahmens, d. h. zwischen 7 und 10 %, einzuordnen. Tendenziell leichter zu gewichten sind den Wettbewerb erheblich beein- trächtigende Abreden, welche sich nicht durch Gründe der wirtschaftlichen Effizienz rechtfer- tigen lassen. Darüber hinaus ist im Allgemeinen davon auszugehen, dass Wettbewerbsbe- schränkungen, welche gleichzeitig mehrere Tatbestände gemäss Art. 5 KG erfüllen, schwerer zu gewichten sind als solche, die nur einen Tatbestand erfüllen.535</w:t>
      </w:r>
    </w:p>
    <w:p>
      <w:r>
        <w:t>20.08.2012, Rz. 326 und 332 m. w. H. in Fn 176, Altimum SA (auparavant Roger Guenat SA), &lt;www.weko.admin.ch&gt; &gt; Aktuell &gt; Letzte Entscheide (20.4.2020). 531 Vgl. hierzu Rz 6. 532 Vgl. hierzu Rz 425. 533 Vgl. dazu Erläuterungen SVKG (Fn 34), 2 f (Erläuterung zu Art. 3 SVKG). 534 D. h. nicht verschuldensabhängige Kriterien, vgl. ROLF DÄHLER/PATRICK L. KRAUSKOPF, Die Sankti- onsbemessung und die Bonusregelung, in: Kartellgesetzrevision 2003 – Neuerungen und Folgen, Stoffel/Zäch (Hrsg.), 2004, 127–150, 139. 535 Vgl. Erläuterungen SVKG (Fn 34), 3 (Erläuterung zu Art. 3 SVKG).</w:t>
      </w:r>
    </w:p>
    <w:p>
      <w:r>
        <w:t>125</w:t>
      </w:r>
    </w:p>
    <w:p>
      <w:r>
        <w:t>473. In der bisherigen Praxis haben sich die Wettbewerbsbehörden im Fall Komponenten für Heiz-, Kühl- und Sanitäranlagen mit einem Informationsaustausch befasst und einen Basisbe- trag von 7 % angesetzt.536 Allerdings hatte die WEKO in diesem Fall eine Wettbewerbsbesei- tigung bejaht. Eine solche liegt in casu nicht vor, was einen tieferen Basisbetrag von 5 % recht- fertigt. (ii) Dauer des Verstosses 474. Gemäss Art. 4 SVKG erfolgt eine Erhöhung des Basisbetrages um bis zu 50 %, wenn der Wettbewerbsverstoss zwischen einem und fünf Jahren gedauert hat, für jedes weitere Jahr ist ein Zuschlag von bis zu 10 % möglich.537 475. Die Erhöhung liegt innerhalb dieses Rahmens im Ermessen der WEKO und richtet sich nach Art und Inhalt der Wettbewerbsbeschränkung und deren Auswirkung im Zeitverlauf. Das Bundesverwaltungsgericht geht in seiner jüngeren Rechtsprechung bei Wettbewerbsverstös- sen, die länger als fünf Jahre andauern, grundsätzlich von gleichmässigen bzw. von wieder- kehrenden über die Zeitachse auftretenden Auswirkungen aus. Daher sei in solchen Fällen eine lineare Erhöhung der Sanktion angebracht. Dies entspreche einer stufenweisen Erhö- hung von 0,8333 % pro angefangenen Monat, seit dem das wettbewerbswidrige Verhalten durchgeführt wurde.538 476. Wie erwähnt539 haben sich die Captives und damit auch Ford Credit im Juli 2006 darüber geeinigt, den monatlichen Informationsaustausch weiterzuführen. Es ist diesbezüglich festzu- halten, dass Ford Credit in der Stellungnahme vom 18. Februar 2021 vorgebracht hat, dass sie den Informationsaustausch bereits am 21. Januar 2014 und damit ca. zwei Monate vor der Untersuchungseröffnung am 10. März 2014 eingestellt habe. Diese Behauptung nimmt Bezug auf eine einzelne Zeile aus einer mehrseitigen handschriftlichen Notiz von Herrn […] von Ford Credit anlässlich des 24. Captive-Meeting vom 21. Januar 2014, auf welcher geschrieben steht, «[…] Ford Credit zieht sich zurück.» Es ist jedoch in keiner Weise ersichtlich, auf wen oder was sich dieses Satzfragment bezieht. Jedenfalls liegen, im Gegensatz zu den Rückzü- gen von […] und […],540 keinerlei Beweismittel für eine Einstellung der Verhaltensweise vor. Das Gegenteil ist der Fall: So hat Ford Credit am 4. März 2014 in einem E-Mail mit dem Betreff «AW: Leasing-Survey und Benchmark 03.2014» seinen aktuellen Beitrag zum aktuellen Lea- sing-Survey sowie Benchmark an […] gesandt.541 Darüber hinaus wurden bei Ford Credit die entsprechenden Excel-Tabellen für die Monate Januar bis März 2014 sichergestellt.542 Was Ford Credit betrifft, hat der Austausch somit bis zum Tag der Hausdurchsuchungen (11./12. März 2014) angedauert, woraus folgt, dass Ford Credit für eine Dauer von 93 Monaten am Austausch teilgenommen hat. Dies führt dazu, dass der Basisbetrag um 77,5 % erhöht wird.</w:t>
      </w:r>
    </w:p>
    <w:p>
      <w:r>
        <w:t>536 Vgl. RPW 2012/3, 650 f. Rz 325 ff., Komponenten für Heiz-, Kühl- und Sanitäranlagen. 537 Vgl. dazu Erläuterungen SVKG (Fn 34), 3 (Erläuterung zu Art. 4 SVKG). 538 Urteil des BVGer B-7633/2009 vom 14.9.2015 Rz 755, Swisscom ADSL/WEKO. 539 Vgl. oben Rz 121 f. 540 Vgl. hierzu Rz 94–96. 541 […]. 542 […].</w:t>
      </w:r>
    </w:p>
    <w:p>
      <w:r>
        <w:t>126</w:t>
      </w:r>
    </w:p>
    <w:p>
      <w:r>
        <w:t>(iii) Erschwerende und mildernde Umstände 477. In einem letzten Schritt sind schliesslich die erschwerenden und die mildernden Um- stände nach Art. 5 und 6 SVKG zu berücksichtigen. 478. Erschwerende und mildernde Umstände sind nicht ersichtlich. So kann namentlich die seitens Ford Credit in der Stellungnahme vorgebrachte Einstellung der Verhaltensweise ca. zwei Monate vor Untersuchungseröffnung widerlegt werden, so dass keine Grundlage für eine Sanktionsreduktion gestützt auf Art. 6 Abs. 1 SVKG vorliegt. Bezüglich des seitens Ford Credit in der Stellungnahme vorgebrachten Argument, wonach die lange Verfahrensdauer als mildernder Umstand zu berücksichtigen sei, kann auf die entsprechenden vorherigen Ausfüh- rungen verwiesen werden.543 (iv) Maximalsanktion 479. Die Sanktion beträgt in keinem Fall mehr als 10 % des in den letzten drei Geschäftsjah- ren in der Schweiz erzielten Gesamtumsatzes des Unternehmens (Art. 49a Abs. 1 KG und Art. 7 SVKG). Im vorliegenden Fall wird die Maximalsanktion nicht erreicht. C.7.2.4.2 Verhältnismässigkeitsprüfung 480. Schliesslich muss eine Sanktion als Ausfluss des Verhältnismässigkeitsgrundsatzes für die betroffenen Unternehmen auch finanziell tragbar sein.544 Der im vorliegenden Verfahren festgesetzte Sanktionsbetrag ist für die Verfügungsadressatin tragbar. Anzeichen, dass sie durch die Sanktionen in ihrer Wettbewerbs- oder Existenzfähigkeit bedroht würde, bestehen nicht. C.7.2.5 Ergebnis 481. Aufgrund der vorstehenden Erwägungen und unter Würdigung der Umstände und aller genannten sanktionserhöhenden und -mildernden Faktoren erachtet die WEKO für Ford Credit eine Verwaltungssanktion in Höhe von CHF 7'774’777.– für den Verstoss gegen Art. 5 Abs. 3 lit. a KG, mit welchem der Tatbestand von Art. 49a Abs. 1 KG erfüllt ist, als angemessen. C.7.3 Weitere Anordnungen/Beschlagnahmte Dokumente und gespiegelte elektronische Daten 482. Anlässlich der Hausdurchsuchungen wurden bei den durchsuchten Gesellschaften di- verse Papierdokumente beschlagnahmt sowie elektronische Daten kopiert und gespiegelt.545 Die für die Untersuchung relevanten Papierdokumente wurden in Kopie, die elektronischen Daten in Form von elektronischen Berichten respektive Papierausdrucken in die amtlichen Ak- ten übernommen. Mit Eintritt der Rechtskraft vorliegender Verfügung gegen Ford Credit sowie aller Teilverfügungen betreffend die EVR gegenüber den anderen Untersuchungsadressatin- nen kann ausgeschlossen werden, dass noch auf die Original-Papierdokumente bzw. die ko- pierten respektive gespiegelten elektronischen Daten zurückgegriffen werden muss. Dement- sprechend sind nach Eintritt der Rechtskraft gegenüber allen Parteien die Original- Papierdokumente der jeweils berechtigten Partei zurückzugeben respektive die gespiegelten oder kopierten elektronischen Daten zu löschen.</w:t>
      </w:r>
    </w:p>
    <w:p>
      <w:r>
        <w:t>543 Vgl. hierzu Rz 55. 544 Siehe ausführlicher dazu RPW 2009/3, 218 Rz 150 m. w. H., Elektroinstallationsbetriebe Bern. 545 Siehe Rz 16.</w:t>
      </w:r>
    </w:p>
    <w:p>
      <w:r>
        <w:t>127</w:t>
      </w:r>
    </w:p>
    <w:p>
      <w:r>
        <w:t>D Kosten 483. Nach Art. 2 Abs. 1 GebV-KG546 ist gebührenpflichtig, wer ein Verwaltungsverfahren ver- ursacht hat. 484. Im Untersuchungsverfahren nach Art. 27 ff. KG besteht eine Gebührenpflicht, wenn auf- grund der Sachverhaltsfeststellung eine unzulässige Wettbewerbsbeschränkung vorliegt oder wenn sich die Parteien unterziehen. Im vorliegenden Fall wird das Vorliegen einer unzulässi- gen Abrede bejaht, so dass eine Gebührenpflicht gegeben ist. 485. Sind wie im vorliegenden Fall die Aufdeckung und Abklärung eines Kartells Gegenstand eines Verfahrens, so gelten grundsätzlich alle am Kartell Beteiligten gemeinsam und in glei- chem Masse als Verursacher des entsprechenden Verwaltungsverfahrens. Dementsprechend gestaltet sich die bisherige Praxis der Wettbewerbsbehörden, gemäss welcher – in Ermange- lung besonderer Umstände, welche das Ergebnis als stossend erscheinen liessen – eine Pro- Kopf-Verlegung der Kosten vorgenommen wird. Insbesondere Gleichheits-, aber auch Prakti- kabilitätserwägungen stehen dabei im Vordergrund.547 Auch vorliegend werden die Gebühren den zum jeweiligen Zeitpunkt aktuellen Untersuchungsadressatinnen zu gleichen Teilen auf- erlegt. 486. Nach Art. 4 Abs. 2 GebV-KG gilt ein Stundenansatz von CHF 100 bis 400.–. Dieser rich- tet sich namentlich nach der Dringlichkeit des Geschäfts und der Funktionsstufe des ausfüh- renden Personals. Auslagen für Porti sowie Telefon- und Kopierkosten sind in den Gebühren eingeschlossen (Art. 4 Abs. 4 GebV-KG). Gestützt auf die Funktionsstufe der mit dem Fall be- trauten Mitarbeiter rechtfertigt sich ein Stundenansatz von CHF 130.– bis 290.–. 487. In der Teilverfügung vom 26. Juni 2019 (vgl. Rz 34) wurden die Gebühren allen damali- gen Untersuchungsadressatinnen ausser Ford Credit anteilsmässig und gestützt auf das Ver- ursacherprinzip auferlegt. So wurden die effektiv verursachten Verfahrenskosten bis zum Zeit- punkt des Erlasses der Teilverfügung je zu einem Neuntel den Untersuchungsadressatinnen ausser Ford Credit auferlegt. Diesem Umstand wird nachfolgend Rechnung getragen. Zudem ist in Bezug auf Ford Credit zu berücksichtigen, dass ab dem Zeitpunkt des Erlasses der Teil- verfügung vom 26. Juni 2019 die Kosten nicht mehr unter den neun Untersuchungsadressa- tinnen aufzuteilen sind. Nach dem Gesagten sind die Kosten für Ford Credit wie folgt zu be- rechnen: a. Bis zum Zeitpunkt des Erlasses der Teilverfügung vom 26. Juni 2019 488. Am Tag des Erlasses der Teilverfügung betrugen die für das Verfahren «22-0446» be- nötigten Arbeitsstunden […] Stunden, was einem Betrag von CHF […] entspricht. Von diesen Kosten wurden acht Neuntel den Verfügungsadressatinnen der Teilverfügung, das heisst je CHF […], auferlegt. Der übrige Neuntel, CHF […], wird somit Ford Credit auferlegt, weil Ford Credit erst am Ende des EVR-Verfahrens aus diesem ausschied. Eine separate Ausscheidung der Kosten betreffend Ford Credit für den Zeitraum zwischen dem definitiven Ausscheiden aus dem EVR-Verfahren ist in mehrerlei Hinsicht nicht angezeigt: So hat Ford Credit das EVR- Verfahren gleichermassen wie die anderen damaligen EVR-Parteien mitverursacht. Zudem hat Ford Credit auch nach deren Ausscheiden aus dem EVR-Verfahren Kosten verursacht aufgrund von mit dem EVR-Verfahren direkt oder indirekt zusammenhängenden Verfahrens- schritten, so beispielsweise im Zusammenhang mit der Bereinigung von Geschäftsgeheimnis- sen sowie der Akteneinsicht vor Ort in die Selbstanzeigeakten. Auch ist festzuhalten, dass Ford Credit aufgrund der Zustellung des Antrags betreffend die Teilverfügung zur Kenntnis von der entsprechenden Kostenauferlegung hatte. Schliesslich ist es keineswegs erwiesen,</w:t>
      </w:r>
    </w:p>
    <w:p>
      <w:r>
        <w:t>546 Verordnung vom 25.2.1998 über die Gebühren zum Kartellgesetz (Gebührenverordnung KG, GebV-KG; SR 251.2). 547 RPW 2009/3, 221 Rz 174, Elektroinstallationsbetriebe Bern.</w:t>
      </w:r>
    </w:p>
    <w:p>
      <w:r>
        <w:t>128</w:t>
      </w:r>
    </w:p>
    <w:p>
      <w:r>
        <w:t>dass eine individuelle Anrechnung des Aufwands betreffend Ford Credit für den betreffenden Zeitraum in einer tieferen Belastung resultieren würde. 489. Neben dem Aufwand nach Art. 4 AllgGebV548 hat der Gebührenpflichtige gemäss Art. 6 AllgGebV die Auslagen sowie die Kosten, die durch Beweiserhebung oder besondere Unter- suchungsmassnahmen verursacht werden, zu erstatten. Dieser Aufwand beläuft sich vorlie- gend auf CHF […] für die Hausdurchsuchungen. Von diesen Auslagen wurden den Verfü- gungsadressatinnen der Teilverfügung gesamthaft schon acht Neuntel, das heisst je CHF […], auferlegt. Der übrige Neuntel, […], wird somit Ford Credit auferlegt. b. Ab dem Zeitpunkt des Erlasses der Teilverfügung vom 26. Juni 2019 490. Zu den obigen Beträgen der Verfahrenskosten werden diejenigen Gebühren hinzuge- rechnet, die bis zum Abschluss des vorliegenden Verfahrens gegenüber Ford Credit entstan- den sind. Nicht erfasst werden hierbei insbesondere die aufgrund des durch FCA eingeleiteten Rechtsmittelverfahrens entstehenden Verfahrenskosten. Der Zeitaufwand für die vorliegende Untersuchung ab dem Zeitpunkt des Erlasses der Teilverfügung beläuft sich auf insgesamt […] Stunden. Die Verfahrenskosten ab Erlass der Teilverfügung betragen somit gesamthaft CHF […]. c. Total der Verfahrenskosten 491. Demnach belaufen sich die Ford Credit zu auferlegenden Verfahrenskosten auf CHF […], bestehend aus einer Gebühr von CHF […] und Auslagen von CHF […] E Ergebnis 492. Zusammenfassend kommt die WEKO gestützt auf die vorstehenden Erwägungen zu fol- gendem Ergebnis: 493. Ford Credit nahm zwischen Juli 2006 und März 2014 im Rahmen einer Gesamtabrede an einem Informationsaustausch teil. 494. Dieser Informationsaustausch betraf insbesondere die Preiselemente Zinssätze, Rest- werte und Gebühren, bezüglich deren Preisabreden in Form von drei abgestimmten Verhal- tensweisen und einer Vereinbarung vorliegen. 495. Diese Verhalten stellen Wettbewerbsabreden im Sinne von Art. 4 Abs. 1 KG i. V. m. Art.</w:t>
      </w:r>
    </w:p>
    <w:p>
      <w:r>
        <w:rPr>
          <w:b/>
        </w:rPr>
        <w:t>E. 5</w:t>
      </w:r>
    </w:p>
    <w:p>
      <w:r>
        <w:t>Abs. 3 lit. a KG über Preise im Automobilleasing dar (vgl. 0). 496. Die gesetzlich statuierte Vermutung der Beseitigung wirksamen Wettbewerbs kann durch vorhandenen Aussenwettbewerb widerlegt werden (vgl. C.6.8.2). 497. Diese Verhalten beeinträchtigten den Wettbewerb erheblich (vgl. C.6.9) und können nicht aus Effizienzgründen gerechtfertigt werden (vgl. C.6.11). 498. Es handelt sich somit um unzulässige Wettbewerbsabreden gemäss Art. 5 Abs. 3 i. V. m. Abs. 1 KG (vgl. C.6.12). 499. Ford Credit wird unter Hinweis auf die gesetzlichen Folgen im Widerhandlungsfall (Art. 50 und 54 KG) untersagt, sich mit anderen Anbietern von Fahrzeug-Leasing auf dem Leasingmarkt Schweiz über Zinssätze, Restwerte, und Gebühren in einer unzulässigen Weise im Sinne von Art. 5 Abs. 3 lit. a KG in Verbindung mit Art. 5 Abs. 1 KG auszutauschen.</w:t>
      </w:r>
    </w:p>
    <w:p>
      <w:r>
        <w:t>548 Allgemeine Gebührenverordnung vom 8.9.2004 (AllgGebV; SR 172.041.1).</w:t>
      </w:r>
    </w:p>
    <w:p>
      <w:r>
        <w:t>129</w:t>
      </w:r>
    </w:p>
    <w:p>
      <w:r>
        <w:t>500. Ford Credit ist an diesen unzulässigen Wettbewerbsabreden beteiligt. Sie ist dafür ge- stützt auf Art. 49a Abs. 1 KG zu sanktionieren (vgl. Rz 450 ff.). Unter Würdigung aller Um- stände und der zu berücksichtigenden sanktionserhöhenden und -mildernden Faktoren ist eine Belastung von CHF 7'774'777.– angemessen (Art. 49a Abs. 1 KG, Art. 2 ff. SVKG, vgl. Rz 481). 501. Bei diesem Ausgang des Verfahrens hat Ford Credit die Verfahrenskosten von CHF […] zu tragen (vgl. Rz 491).</w:t>
      </w:r>
    </w:p>
    <w:p>
      <w:r>
        <w:t>130</w:t>
      </w:r>
    </w:p>
    <w:p>
      <w:r>
        <w:t>F Dispositiv Aufgrund des Sachverhalts und der vorangehenden Erwägungen verfügt die WEKO (Art. 30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