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fresenius-kabi-2024-06-24 vom 24. Juni 2024</w:t>
      </w:r>
    </w:p>
    <w:p>
      <w:r>
        <w:t>WEKO, 2024-06-24, DE</w:t>
      </w:r>
    </w:p>
    <w:p>
      <w:r>
        <w:rPr>
          <w:b/>
        </w:rPr>
        <w:t xml:space="preserve">Quelle: </w:t>
      </w:r>
      <w:r>
        <w:t>https://mcp.opencaselaw.ch/entscheid/weko_fresenius-kabi-2024-06-24</w:t>
      </w:r>
    </w:p>
    <w:p>
      <w:r>
        <w:t>FR: WEKO fresenius-kabi-2024-06-24 du 24 juin 2024</w:t>
      </w:r>
    </w:p>
    <w:p>
      <w:r>
        <w:t>IT: WEKO fresenius-kabi-2024-06-24 del 24 giugno 2024</w:t>
      </w:r>
    </w:p>
    <w:p>
      <w:pPr>
        <w:pStyle w:val="Heading2"/>
      </w:pPr>
      <w:r>
        <w:t>Erwägungen</w:t>
      </w:r>
    </w:p>
    <w:p>
      <w:r>
        <w:rPr>
          <w:b/>
        </w:rPr>
        <w:t>E. 9</w:t>
      </w:r>
    </w:p>
    <w:p>
      <w:r>
        <w:t>B.1.3 Verhältnismässigkeit weiterer Ermittlungen</w:t>
      </w:r>
    </w:p>
    <w:p>
      <w:r>
        <w:rPr>
          <w:b/>
        </w:rPr>
        <w:t>E. 11</w:t>
      </w:r>
    </w:p>
    <w:p>
      <w:r>
        <w:t>B.2 Übersicht</w:t>
      </w:r>
    </w:p>
    <w:p>
      <w:r>
        <w:rPr>
          <w:b/>
        </w:rPr>
        <w:t>E. 12</w:t>
      </w:r>
    </w:p>
    <w:p>
      <w:r>
        <w:t>B.3 Betroffene Produkte</w:t>
      </w:r>
    </w:p>
    <w:p>
      <w:r>
        <w:rPr>
          <w:b/>
        </w:rPr>
        <w:t>E. 13</w:t>
      </w:r>
    </w:p>
    <w:p>
      <w:r>
        <w:t>B.3.3 Sondennahrung</w:t>
      </w:r>
    </w:p>
    <w:p>
      <w:r>
        <w:rPr>
          <w:b/>
        </w:rPr>
        <w:t>E. 14</w:t>
      </w:r>
    </w:p>
    <w:p>
      <w:r>
        <w:t>B.3.5 Bedeutung der betroffenen Produkte von Fresenius Kabi für Galexis</w:t>
      </w:r>
    </w:p>
    <w:p>
      <w:r>
        <w:rPr>
          <w:b/>
        </w:rPr>
        <w:t>E. 15</w:t>
      </w:r>
    </w:p>
    <w:p>
      <w:r>
        <w:t>B.4.2 Regulierung der Einfuhr (Parallelimporte)</w:t>
      </w:r>
    </w:p>
    <w:p>
      <w:r>
        <w:rPr>
          <w:b/>
        </w:rPr>
        <w:t>E. 16</w:t>
      </w:r>
    </w:p>
    <w:p>
      <w:r>
        <w:t>B.4.4 Ergebnis</w:t>
      </w:r>
    </w:p>
    <w:p>
      <w:r>
        <w:rPr>
          <w:b/>
        </w:rPr>
        <w:t>E. 17</w:t>
      </w:r>
    </w:p>
    <w:p>
      <w:r>
        <w:t>B.5.2 Herstellerinnen</w:t>
      </w:r>
    </w:p>
    <w:p>
      <w:r>
        <w:rPr>
          <w:b/>
        </w:rPr>
        <w:t>E. 18</w:t>
      </w:r>
    </w:p>
    <w:p>
      <w:r>
        <w:t>B.5.3 Grossistinnen</w:t>
      </w:r>
    </w:p>
    <w:p>
      <w:r>
        <w:rPr>
          <w:b/>
        </w:rPr>
        <w:t>E. 19</w:t>
      </w:r>
    </w:p>
    <w:p>
      <w:r>
        <w:t>B.5.4 Apotheken</w:t>
      </w:r>
    </w:p>
    <w:p>
      <w:r>
        <w:rPr>
          <w:b/>
        </w:rPr>
        <w:t>E. 20</w:t>
      </w:r>
    </w:p>
    <w:p>
      <w:r>
        <w:t>B.5.5 Ergebnis</w:t>
      </w:r>
    </w:p>
    <w:p>
      <w:r>
        <w:rPr>
          <w:b/>
        </w:rPr>
        <w:t>E. 23</w:t>
      </w:r>
    </w:p>
    <w:p>
      <w:r>
        <w:t>B.6 Vertrieb der Trinknahrung von Fresenius Kabi über Galexis im Apothekenkanal</w:t>
      </w:r>
    </w:p>
    <w:p>
      <w:r>
        <w:rPr>
          <w:b/>
        </w:rPr>
        <w:t>E. 24</w:t>
      </w:r>
    </w:p>
    <w:p>
      <w:r>
        <w:t>B.6.3 Galexis</w:t>
      </w:r>
    </w:p>
    <w:p>
      <w:r>
        <w:rPr>
          <w:b/>
        </w:rPr>
        <w:t>E. 25</w:t>
      </w:r>
    </w:p>
    <w:p>
      <w:r>
        <w:t>B.6.4 Von Galexis mit Trinknahrung von Fresenius Kabi belieferte Apotheken</w:t>
      </w:r>
    </w:p>
    <w:p>
      <w:r>
        <w:rPr>
          <w:b/>
        </w:rPr>
        <w:t>E. 27</w:t>
      </w:r>
    </w:p>
    <w:p>
      <w:r>
        <w:t>B.6.5 Konsumentinnen und Konsumenten</w:t>
      </w:r>
    </w:p>
    <w:p>
      <w:r>
        <w:rPr>
          <w:b/>
        </w:rPr>
        <w:t>E. 32</w:t>
      </w:r>
    </w:p>
    <w:p>
      <w:r>
        <w:t>B.6.6 Ergebnis</w:t>
      </w:r>
    </w:p>
    <w:p>
      <w:r>
        <w:rPr>
          <w:b/>
        </w:rPr>
        <w:t>E. 34</w:t>
      </w:r>
    </w:p>
    <w:p>
      <w:r>
        <w:t>B.7 Mutmassliche Folgen einer Auflösung der Lieferbeziehung zwischen Fresenius Kabi und Galexis im Bereich Trinknahrung</w:t>
      </w:r>
    </w:p>
    <w:p>
      <w:r>
        <w:rPr>
          <w:b/>
        </w:rPr>
        <w:t>E. 35</w:t>
      </w:r>
    </w:p>
    <w:p>
      <w:r>
        <w:t>Vgl. BVGer, B-771/2012 vom 25.6.2018 E. 6.5.5.6 und E. 6.5.5.8, Wettbewerbsabreden im Stras- sen- und Tiefbau im Kanton Aargau/Cellere; BVGer, B-552/2015 vom 14.11.2017 E. 4.4, Türpro- dukte. Siehe auch AUER CHRISTOPH/BINDER ANJA MARTINA, in: VwVG, Bundesgesetz über das Ver- waltungsverfahren, Auer/Müller/Schindler (Hrsg.), 2. Aufl. 2019, Art. 19 N 18 m.w.H.</w:t>
      </w:r>
    </w:p>
    <w:p>
      <w:r>
        <w:rPr>
          <w:b/>
        </w:rPr>
        <w:t>E. 36</w:t>
      </w:r>
    </w:p>
    <w:p>
      <w:r>
        <w:t>Vgl. BGer, 2A.500/2002 vom 24.3.2003 E. 3.5, bestätigt in BVGE 2010/63 E. 9.2 und BVGE 2012/33 E. 6.2.1; sowie BVGer, B-2597/2017 vom 19.1.2022 E. 5.2, Kommerzialisierung elektronischer Me- dikamenteninformationen. Siehe auch DIKE KG-ZIRLICK/BANGERTER (Fn 32), Art. 5 N 54 m.w.H.; BSK KG-KRAUSKOPF/SCHALLER (Fn 30), Art. 5 N 617 m.w.H.; BSK KG-ZIRLICK/TAGMANN (Fn 30), Art. 30 N 102; AMSTUTZ/KELLER/REINERT (Fn 35) 114–121, 118 m.w.H.; PATRICK L. KRAUSKOPF/MARKUS WYSSLING, in: Praxiskommentar zum Bundesgesetz über das Verwaltungsver- fahren, Waldmann/Krauskopf (Hrsg.), 3. Aufl. 2023, Art. 12 VwVG N 197, 200.</w:t>
      </w:r>
    </w:p>
    <w:p>
      <w:r>
        <w:rPr>
          <w:b/>
        </w:rPr>
        <w:t>E. 37</w:t>
      </w:r>
    </w:p>
    <w:p>
      <w:r>
        <w:t>Vgl. BGE 144 IV 345 E. 2.2.3.3; BGE 124 IV 86 E. 2a; so auch BGer, 6B_249/2020 vom 27.5.2021 E. 2.4.2; BGer, 6B_108/2022 vom 27.4.2022, E. 3.1.</w:t>
      </w:r>
    </w:p>
    <w:p>
      <w:r>
        <w:rPr>
          <w:b/>
        </w:rPr>
        <w:t>E. 38</w:t>
      </w:r>
    </w:p>
    <w:p>
      <w:r>
        <w:t>BGE 147 II 72 E. 3.4.4 (m.H. auf die ausführlicheren BGE 139 I 72 E. 8.3.2 [wobei auch auf E. 9.2.3.4 hinzuweisen ist], Publigroupe und BGE 144 II 246 E. 6.4.4, Altimum), Hors-Liste-Medikamente II. Vgl. zum Ganzen ausführlich BSK KG-ZIRLICK/TAGMANN (Fn 30), Art. 30 N 103 m.w.H.; speziell für Abreden BSK KG-REINERT (Fn 30), Art. 4 I N 25; DIKE KG-ZIRLICK/BANGERTER (Fn 32), Art. 5 N 56.</w:t>
      </w:r>
    </w:p>
    <w:p>
      <w:r>
        <w:rPr>
          <w:b/>
        </w:rPr>
        <w:t>E. 39</w:t>
      </w:r>
    </w:p>
    <w:p>
      <w:r>
        <w:t>BVGer, B-7633/2009 vom 14.9.2015 E. 156 ff., ADSL II; BVGer, B-581/2012 vom 16. 9. 2016 E. 5.5.2, Nikon; vgl. auch BGE 144 II 246 E. 6.4.4, Altimum; BGE 139 I 72 E. 8.3.2, Publigroupe.</w:t>
      </w:r>
    </w:p>
    <w:p>
      <w:r>
        <w:rPr>
          <w:b/>
        </w:rPr>
        <w:t>E. 40</w:t>
      </w:r>
    </w:p>
    <w:p>
      <w:r>
        <w:t>Schweizerisches Zivilgesetzbuch vom 10.12.1907 (Zivilgesetzbuch, ZGB; SR 210).</w:t>
      </w:r>
    </w:p>
    <w:p>
      <w:r>
        <w:t>11</w:t>
      </w:r>
    </w:p>
    <w:p>
      <w:r>
        <w:t>rechtshindernde oder -vernichtende Tatsachen ihr Gegenüber. In einem Kartellverwaltungs- verfahren geht es darum, ob ein Kartellrechtsverstoss vorliegt. Können Tatsachen, die auf einen Gesetzesverstoss schliessen lassen, nicht bewiesen werden, geht dies zu Gunsten des beschuldigten Unternehmens. B.1.3 Verhältnismässigkeit weiterer Ermittlungen 29. Im vorliegenden Verfahren stehen sich die Parteien – Fresenius Kabi und Galexis – mit gegensätzlichen Interessen gegenüber. Ein solches Gegenparteiverhältnis ist vergleichbar mit Konstellationen, die typischerweise in Zivilprozessen anzutreffen sind. Anders als in Zivilver- fahren gilt in kartellrechtlichen Untersuchungen nach Art. 27 f. KG jedoch die Untersuchungs- maxime (vgl. Art. 12 VwVG; Rz 22). Vorliegend haben die beiden Parteien gegenüber der Be- hörde in zentralen Sachverhaltsfragen (vgl. etwa Rz 126–191 und Rz 204–256) diametral gegensätzliche Positionen vertreten. Die Behörde hat einen beträchtlichen Ermittlungsauf- wand betrieben, um in diesen zentralen Punkten Klarheit zu erhalten. Angesichts des Unter- suchungsgrundsatzes könnten sich die Parteien dennoch veranlasst sehen, von der Behörde zusätzliche Beweismassnahmen zu verlangen. Im Folgenden wird daher aufgezeigt, dass dem Untersuchungsgrundsatz im Hinblick auf die Verfahrenseinstellung genüge getan worden ist und weitere Ermittlungen unverhältnismässig wären. 30. Die behördliche Untersuchungspflicht dauert so lange, bis über die für die Beurteilung erforderlichen Tatsachen hinreichende Klarheit besteht, d.h. das anwendbare Beweismass er- reicht ist. Ist dies nicht der Fall, ist – unter Vorbehalt der Verhältnismässigkeit (dazu sogleich Rz 31 ff.) – weiter zu ermitteln, soweit von zusätzlichen Abklärungsmassnahmen noch neue wesentliche Erkenntnisse zu erwarten sind.41 31. Inwiefern zusätzliche Ermittlungen vorliegend zu einem anderen Beweisergebnis führen könnten, ist nicht ersichtlich. Selbst wenn wesentliche und wirksame Beweismassnahmen aus- geblieben wären, ist jedoch vorliegend das Verhältnismässigkeitsprinzip zu beachten, das na- mentlich in Art. 5 Abs. 2 BV verankert ist.42 Für die Wettbewerbsbehörden fliesst aus dem Verhältnismässigkeitsgrundsatz etwa das Gebot, auf die Durchführung einer Untersuchung zu verzichten, wenn dieser überwiegende öffentliche und/oder private Interessen entgegenste- hen. Erforderlich ist dabei eine sorgfältige und umfassende Würdigung der Interessenlage im Einzelfall. Dabei dürfen auch Opportunitätsgedanken gewichtet werden.43 32. Der Verhältnismässigkeitsgrundsatz ist ein verfassungsmässiges Prinzip; seine Trag- weite ist generell. Nach Massgabe des Verhältnismässigkeitsgrundsatzes dürfen Opportuni- tätsüberlegungen nicht nur bei der Frage greifen, ob eine Untersuchung eröffnet wird (Eröff- nungsermessen), sondern auch bei den Ermittlungen (Ermittlungsermessen) und der Beendigung einer Untersuchung (Einstellungsermessen). 33. Im Einzelnen verlangt der Verhältnismässigkeitsgrundsatz unter diesem Gesichtspunkt, auf weitere Ermittlungen zu verzichten oder deren Umfang zu beschränken, wenn solchen überwiegende öffentliche und/oder private Interessen entgegenstehen.44 Dem Verhältnismäs- sigkeitsprinzip könnte es beispielsweise zuwiderlaufen, wenn die Wettbewerbsbehörden bei einem Verdacht auf einen bloss leichten Kartellrechtsverstoss einen gewaltige Ermittlungsauf-</w:t>
      </w:r>
    </w:p>
    <w:p>
      <w:r>
        <w:rPr>
          <w:b/>
        </w:rPr>
        <w:t>E. 41</w:t>
      </w:r>
    </w:p>
    <w:p>
      <w:r>
        <w:t>Vgl. BGer, 8C_414/2022 vom 24.1.2023 E. 4.2.</w:t>
      </w:r>
    </w:p>
    <w:p>
      <w:r>
        <w:rPr>
          <w:b/>
        </w:rPr>
        <w:t>E. 42</w:t>
      </w:r>
    </w:p>
    <w:p>
      <w:r>
        <w:t>Zum Verhältnismässigkeitsgrundsatz bei der Sachverhaltsermittlung etwa PATRICK L. KRAUSKOPF/MARKUS WYSSLING, in: Waldmann/Krauskopf, Praxiskommentar Verwaltungsverfahrens- gesetz (VwVG), 2023, Art.12 N 33 ff.; sodann betreffend Hausdurchsuchungen statt vieler BstGer, BE.2013.1 vom 24.10.2013 E. 2.</w:t>
      </w:r>
    </w:p>
    <w:p>
      <w:r>
        <w:rPr>
          <w:b/>
        </w:rPr>
        <w:t>E. 43</w:t>
      </w:r>
    </w:p>
    <w:p>
      <w:r>
        <w:t>DIKE KG-IZUMI/BAUR (Fn 32), Art. 27 N 16 f.; BSK KG-ZIRLICK/TAGMANN (Fn 30), Art. 27 N 52a ff. m.w.H.</w:t>
      </w:r>
    </w:p>
    <w:p>
      <w:r>
        <w:rPr>
          <w:b/>
        </w:rPr>
        <w:t>E. 44</w:t>
      </w:r>
    </w:p>
    <w:p>
      <w:r>
        <w:t>Dazu etwa BVGer, B-565/2015 und B-812/2015 vom 4.10.2016 E. 5.2.</w:t>
      </w:r>
    </w:p>
    <w:p>
      <w:r>
        <w:t>12</w:t>
      </w:r>
    </w:p>
    <w:p>
      <w:r>
        <w:t>wand betreiben würden, etwa breit angelegte Zeugenbefragungen, eine Serie von aufwändi- gen Umfragen bei Marktteilnehmern oder gar Hausdurchsuchungen durchführen würden. Der Verhältnismässigkeitsgrundsatz gebietet sodann, dass ein Verfahren einzustellen ist, wenn dessen Fortsetzung in keinem Verhältnis zum Aufwand steht, der für die gehörige Ermittlung des relevanten Sachverhalts erforderlich wäre. Eine solche Verfahrenseinstellung aus Verhält- nismässigkeits- bzw. Opportunitätsgründen hat freilich die Ausnahme zu bleiben. Laufende kartellrechtliche Untersuchungen sind nach Möglichkeit soweit fortzuführen, bis das Vorliegen bzw. Nichtvorliegen einer Gesetzesverletzung tatsächlich beurteilt werden kann. 34. Vorliegend hat die Behörde bereits beträchtliche Ermittlungsbemühungen unternom- men. Unter anderem hat sie Partei- und Zeugeneinvernahmen durchgeführt, eine Vielzahl von Auskunftsbegehren an die Parteien und Drittpersonen gestellt, sachkundige Behörden um Amtshilfe ersucht sowie eine breit angelegte Umfrage bei Apotheken durchgeführt und deren Ergebnisse ausgewertet. Die Parteien ihrerseits haben eine Reihe von unaufgeforderten Stel- lungnahmen eingereicht, unter anderem auch Parteigutachten. Diese teils umfangreichen Ein- gaben galt es auf Seite der Behörde genau zu analysieren. Der getätigte Ermittlungs- und Analyseaufwand widerspiegelt sich in den Verfahrenskosten (dazu Rz 366 ff.). Dieser behör- denseitige Aufwand ist mit der Bedeutung des konkreten Verfahrensgegenstands ins Verhält- nis zu setzen. Der vorliegende Untersuchungsgegenstand betrifft eine rein bilaterale Streitsa- che zwischen Fresenius Kabi und Galexis. Die möglichen Implikationen der Angelegenheit auf den Wettbewerb sind beschränkt. Vielmehr stehen die Interessen der involvierten Parteien im Vordergrund. Zudem schliesst die Einstellung des vorliegenden Verwaltungsverfahrens nicht aus, den Rechtstreit auf dem Zivilweg auszufechten. Darüber hinaus ist zu beachten, dass es sich bei Verstössen gegen die Bestimmungen zur relativen Marktmacht typischerweise nicht um schwerwiegende Zuwiderhandlungen gegen das Kartellgesetz handelt. Dies manifestiert sich etwa in der fehlenden Sanktionierbarkeit (Art. 49a KG). Schliesslich sind vorliegend – wie bereits erwähnt – keine weiteren wesentlichen und wirksamen Beweismassnahmen ersicht- lich, die geeignet wären, das Beweisergebnis umzustossen oder einen anderen Verfahrens- ausgang herbeizuführen. 35. Vor diesem Hintergrund wären zusätzliche Beweismassnahmen unverhältnismässig. Auf weitere Ermittlungen ist daher zu verzichten. Die Sachverhaltsfeststellungen im Rahmen der vorliegenden Einstellungsverfügung sind auf der Grundlage der getätigten Ermittlungen zu treffen. B.2 Übersicht 36. Im Rahmen der vorliegenden Untersuchung ist zu prüfen, ob Galexis in Bezug auf die Belieferung mit Trinknahrung, Sondennahrung und Hilfsmitteln zur Verabreichung von Son- dennahrung von der Herstellerin Fresenius Kabi abhängig im Sinne von Art. 4 Abs. 2bis KG ist. Ob eine solche Abhängigkeit vorliegt, ist eine Rechtsfrage (dazu Rz 278 ff.). Ihre Beantwor- tung setzt die Behandlung folgender Sachverhaltsthemen voraus: − Zunächst sind die betroffenen Produkte zu beschreiben (Rz 37 ff.). Weil Galexis nur sehr geringe Umsätze mit Sondennahrung und Hilfsmitteln von Fresenius Kabi erzielt, kann diesbezüglich von vornherein eine Abhängigkeit ausgeschlossen werden. Deshalb be- schränken sich die weiteren Ausführungen zum Sachverhalt auf Trinknahrung (Rz 43 ff.). − In der Schweiz gibt es verschiedene Vorschriften, welche Trinknahrung betreffen und die im Rahmen der vorliegenden Untersuchung relevant sind. Diese werden als nächs- tes unter dem Titel Regulierung beschrieben (Rz 47 ff.). − Anschliessend wird das Vertriebssystem für Trinknahrung in der Schweiz erläutert. Da- bei wird die Funktionsweise der verschiedenen Handelsstufen von den Herstellerinnen bis zu den Konsumentinnen und Konsumenten dargelegt. Ausserdem werden die wich- tigsten Akteurinnen und Akteure genannt (Rz 54 ff.).</w:t>
      </w:r>
    </w:p>
    <w:p>
      <w:r>
        <w:t>13</w:t>
      </w:r>
    </w:p>
    <w:p>
      <w:r>
        <w:t>− In einem nächsten Kapitel wird spezifisch der Vertrieb der Trinknahrung von Fresenius Kabi beschrieben. Die entsprechenden Ausführungen beschränken sich auf den Vertrieb über die vorliegend relevante Grossistin Galexis. Weil Galexis die überwiegende Mehr- heit der von ihr verkauften Trinknahrung an Apotheken liefert, beziehen sich die entspre- chenden Ausführungen im Wesentlichen auf diesen Vertriebskanal (Rz 75 ff.). − Zur Beurteilung einer allfälligen Abhängigkeit ist insbesondere zu prüfen, welches die Folgen für Galexis sind, wenn die bestehende Lieferbeziehung aufgelöst wird (zum Tat- bestand vgl. Rz 278 ff.). Daraufhin sind die mutmasslichen Folgen einer Auflösung der Lieferbeziehung für Fresenius Kabi abzuklären, um zu eruieren, in welchem Umfang Ga- lexis Gegenmacht ausüben kann (zum Ganzen Rz 114 ff.). − Anschliessend wird untersucht, ob Fresenius Kabi Galexis im Ausland mit Trinknahrung beliefert oder nicht (Rz 200 ff.). − Schliesslich werden die Konditionen von Galexis beim Bezug von Trinknahrung von Fresenius Kabi in der Schweiz mit den Konditionen vergleichbarer Unternehmen in Deutschland und in den Niederlanden verglichen. Ein solcher Konditionenvergleich ist insbesondere deshalb relevant, weil eine Lieferverweigerung im Ausland nur dann miss- bräuchlich sein kann, wenn die ausländischen Konditionen vorteilhafter sind als diejeni- gen in der Schweiz (Rz 204 ff.; zum Tatbestand vgl. Rz 320 ff.). B.3 Betroffene Produkte B.3.1 Einleitung 37. In sachlicher Hinsicht sind Trinknahrung, Sondennahrung und Hilfsmittel zur Verabrei- chung von Sondennahrung Gegenstand der vorliegenden Untersuchung (Rz 1 vorne). Des- halb werden diese Produkte nachfolgend beschrieben (Rz 38 ff.). Zudem wird die Bedeutung dieser Produkte der Herstellerin Fresenius Kabi für Galexis ermittelt (Rz 43 ff.). B.3.2 Trinknahrung 38. Trinknahrung ist eine hochkalorische Nährstofflösung, die bei bestehender oder drohen- der Mangelernährung eine ausreichende Nährstoffzufuhr sicherstellen soll. Sie liefert Energie und enthält insbesondere Eiweiss, Mineralstoffe, Spurenelemente und Vitamine. Die Produkte sind in unterschiedlicher Zusammensetzung an Nährstoffen und in verschiedenen Ge- schmacksrichtungen und Konsistenzen erhältlich. Meistens wird Trinknahrung ergänzend zur normalen Kost eingenommen, um die Lücke zwischen dem täglichen Nährstoffbedarf und der Nährstoffzufuhr über die normale Nahrung zu schliessen. Eine sogenannte vollbilanzierte Trinknahrung ist auch zur ausschliesslichen Ernährung geeignet. Die Nährstoffversorgung kann beispielsweise bei Menschen mit schweren Erkrankungen oder im fortgeschrittenen Alter und bei Personen vor und nach einer Operation erschwert sein. Trinknahrung wird in erster Linie in flüssiger Form angeboten. Es gibt aber auch Pulver, welche als Getränk angerührt werden, sowie Crèmen, die ebenfalls als Trinknahrung gelten.45</w:t>
      </w:r>
    </w:p>
    <w:p>
      <w:r>
        <w:rPr>
          <w:b/>
        </w:rPr>
        <w:t>E. 45</w:t>
      </w:r>
    </w:p>
    <w:p>
      <w:r>
        <w:t>&lt;www.fresubin.com/de/hochkalorische-trinknahrung&gt; (07.02.2023); Vgl. auch die «Definition Zu- satztrinknahrung (sondenfreie enterale Ernährung)» gemäss «Richtlinien der GESKES über Home Care, künstliche Ernährung zu Hause» vom Januar 2013, S. 6. (nachfolgend: GESKES-Richtlinien), verfügbar unter &lt;www.bag.admin.ch/bag/de/home/gesetze-und-bewilligungen/gesetzgebung/ge setzgebung-versicherungen/gesetzgebung-krankenversicherung/kvg/referenzdokumente-zur-klv- und-deren-anhaenge.html&gt; (31.5.2023). Die Abkürzung «GESKES» steht für «Gesellschaft für künstliche Ernährung der Schweiz». Heute nennt sich diese «Gesellschaft für Ernährungsmedizin und Metabolismus Schweiz» (&lt;www.geskes.ch/geskes/die-geskes.aspx&gt;, 31.5.2023). Nachfolgend wird sie mit der nach wie vor gängigen Abkürzung GESKES bezeichnet. Zur Rolle der GESKES vgl. Rz 111.</w:t>
      </w:r>
    </w:p>
    <w:p>
      <w:r>
        <w:t>14</w:t>
      </w:r>
    </w:p>
    <w:p>
      <w:r>
        <w:t>39. Trinknahrung kann unter anderem in Apotheken, Drogerien oder über den Versandhan- del rezeptfrei erworben werden. Sie wird nicht nur von Personen mit einer bestehenden oder drohenden Mangelernährung eingenommen, sondern auch von Personen, bei denen keine medizinische Indikation besteht, beispielsweise von Sportlern und Sportlerinnen oder älteren Menschen.46 40. Trinknahrung fällt in die Kategorie der Lebensmittel für besondere medizinische Zwecke i.S.v. Art. 23 der Verordnung des Eidgenössischen Departements des Innern (nachfolgend: EDI) über Lebensmittel für Personen mit besonderem Ernährungsbedarf.47 Im Unterschied zu Arzneimitteln dienen Lebensmittel für besondere medizinische Zwecke nicht der medizini- schen Einwirkung auf den menschlichen Organismus, sondern sind zum Diätmanagement bei einer Krankheit, einer Störung oder bei Beschwerden bestimmt.48 Hersteller und Importeure müssen das Inverkehrbringen von Lebensmitteln für besondere medizinische Zwecke dem BLV melden. Die Meldung muss vor dem ersten Inverkehrbringen sowie bei jeder Rezepturän- derung und Kennzeichnungsanpassung erfolgen (Art. 27 VLBE). Trinknahrung untersteht folg- lich einer Meldepflicht und bedarf – im Gegensatz zu Arzneimitteln49 – keiner Zulassung durch das Schweizerische Heilmittelinstitut (nachfolgend: Swissmedic). B.3.3 Sondennahrung 41. Bei der Ernährung per Sonde wird der Patient oder die Patientin über einen durch die Nase oder die Bauchdecke eingeführten dünnen Schlauch direkt in den Magen oder Dünn- darm mit Flüssignahrung versorgt. Wie Trinknahrung hat Sondennahrung einen hohen Ener- giegehalt und enthält Eiweiss, Spurenelemente und Vitamine. Die künstliche Ernährung über eine Sonde ist indiziert, wenn der Patient oder die Patientin zur normalen Nahrungsaufnahme über den Mund nicht in der Lage ist, zum Beispiel bei einer gravierenden Schluckstörung.50 Sondennahrung wird ausschliesslich von Patienten und Patientinnen verwendet, die in ärztli- cher Behandlung sind und eine ärztliche Verordnung haben.51 Sondennahrung gehört wie Trinknahrung zu den Lebensmitteln für besondere medizinische Zwecke. B.3.4 Hilfsmittel zur Verabreichung von Sondennahrung 42. Zur Verabreichung von Sondennahrung sind verschiedene Hilfsmittel notwendig. Es handelt sich dabei um Produkte wie Schläuche, Ernährungspumpen, Adapter und Beutel.52 Wie bei der Sondennahrung werden die Hilfsmittel zu deren Verabreichung ausschliesslich von Patienten und Patientinnen verwendet, die in ärztlicher Behandlung sind.</w:t>
      </w:r>
    </w:p>
    <w:p>
      <w:r>
        <w:rPr>
          <w:b/>
        </w:rPr>
        <w:t>E. 46</w:t>
      </w:r>
    </w:p>
    <w:p>
      <w:r>
        <w:t>Act. III.1, Zeilen 343–436; Act. III.2, Zeilen 564–567.</w:t>
      </w:r>
    </w:p>
    <w:p>
      <w:r>
        <w:rPr>
          <w:b/>
        </w:rPr>
        <w:t>E. 47</w:t>
      </w:r>
    </w:p>
    <w:p>
      <w:r>
        <w:t>Verordnung des EDI vom 16.12.2016 über Lebensmittel für Personen mit besonderem Ernährungs- bedarf (VLBE; SR 817.022.104).</w:t>
      </w:r>
    </w:p>
    <w:p>
      <w:r>
        <w:rPr>
          <w:b/>
        </w:rPr>
        <w:t>E. 48</w:t>
      </w:r>
    </w:p>
    <w:p>
      <w:r>
        <w:t>BUNDESAMT FÜR LEBENSMITTELSICHERHEIT UND VETERINÄRWESEN/BUNDESAMT FÜR GESUND- HEIT/SCHWEIZERISCHES HEILMITTELINSTITUT, Abgrenzungskriterien Heilmittel – Lebensmittel bezüglich oral einzunehmender Produkte, 2021, S. 9, abrufbar unter &lt;www.blv.admin.ch/blv/de/home/ lebensmittel-und-ernaehrung/rechts-und-vollzugsgrundlagen/hilfsmittel-und-vollzugsgrundlagen/ abgrenzungskriterien.html&gt; (07.02.2023).</w:t>
      </w:r>
    </w:p>
    <w:p>
      <w:r>
        <w:rPr>
          <w:b/>
        </w:rPr>
        <w:t>E. 49</w:t>
      </w:r>
    </w:p>
    <w:p>
      <w:r>
        <w:t>Arzneimittel dürfen in der Schweiz grundsätzlich nur in Verkehr gebracht werden, wenn sie von Swissmedic zugelassen sind (Art. 9 Abs. 1 Bundesgesetz vom 15.12.2000 über Arzneimittel und Medizinprodukte [Heilmittelgesetz, HMG; SR 812.21]) und die natürliche oder juristische Person, die sie herstellt oder damit Handel treibt, über eine Betriebsbewilligung verfügt (Art. 5, 18 und 28 HMG).</w:t>
      </w:r>
    </w:p>
    <w:p>
      <w:r>
        <w:rPr>
          <w:b/>
        </w:rPr>
        <w:t>E. 50</w:t>
      </w:r>
    </w:p>
    <w:p>
      <w:r>
        <w:t>Wenn die Herstellerin das einzuführende Produkt bereits dem BLV gemeldet hat, kann sie das BLV schriftlich bevollmächtigen, die Meldung eines Zweitmeldenden mit der Rezeptur aus der Meldung der Herstellerin zu ergänzen. In diesem Fall gilt die Zweitmeldung als voll- ständig. Ohne ausdrückliches Einverständnis der Herstellerin ist eine solche Ergänzung aber nicht möglich. Ausserdem ist die Herstellerin nicht verpflichtet, die Rezeptur dem BLV oder Dritten zwecks Meldung gemäss Art. 27 VLBE zur Verfügung zu stellen. Da es sich bei der Rezeptur um ein Geschäftsgeheimnis handelt, ist diese nur über die Herstellerin erhältlich.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