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ZZ 09 7 vom 2. März 2009</w:t>
      </w:r>
    </w:p>
    <w:p>
      <w:r>
        <w:t>VS Kantonsgericht, 2009-03-02, DE</w:t>
      </w:r>
    </w:p>
    <w:p>
      <w:r>
        <w:rPr>
          <w:b/>
        </w:rPr>
        <w:t xml:space="preserve">Quelle: </w:t>
      </w:r>
      <w:r>
        <w:t>https://mcp.opencaselaw.ch/entscheid/vs_gerichte_ZZ_09_7</w:t>
      </w:r>
    </w:p>
    <w:p>
      <w:r>
        <w:t>FR: VS_GERICHTE ZZ 09 7 du 2 mars 2009</w:t>
      </w:r>
    </w:p>
    <w:p>
      <w:r>
        <w:t>IT: VS_GERICHTE ZZ 09 7 del 2 marzo 2009</w:t>
      </w:r>
    </w:p>
    <w:p>
      <w:pPr>
        <w:pStyle w:val="Heading2"/>
      </w:pPr>
      <w:r>
        <w:t>Regeste</w:t>
      </w:r>
    </w:p>
    <w:p>
      <w:r>
        <w:t>RVJ/ZWR 2009 183 ATC (Présidente de l’autorité cantonale de surveillance des avocats) du 2 mars 2009, Me X. Levée du secret professionnel de l’avocat (art. 13 al. 1 LLCA) L’avocat doit être délié du secret professionnel afin de pouvoir prouver l’étendue de sa créance d’honoraires dans l’action en paiement qui l’oppose à un client qui refuse de s’en acquitter. Entbindung des Anwalts vom Berufsgeheimnis (Art. 13 Abs. 1 BGFA) Der Anwalt muss vom Berufsgeheimnis entbunden werden, damit er seine Honorar- forderung in einem Forderungsprozess gegen einen nicht zahlungswilligen Mandan- ten beweisen kann. Considérants (extraits) que l’intérêt de l’avocat à pouvoir obtenir le paiement de ses hono- raires constitue un élément de poids qui l’emporte en principe sur celui de la collectivité, mais aussi sur l’intérêt de son client à la protec- tion de sa sphère privée (arrêt 2P.90/2002 du 8 juillet 2002 consid. 5 et jurisprudence et doctrine citées; Pfeifer, Kommentar zum Anwaltsge- setz, 2005, n. 70 ss ad art. 13 LLCA; Corboz, Le secret professionnel de l’avocat selon l’</w:t>
      </w:r>
    </w:p>
    <w:p>
      <w:pPr>
        <w:pStyle w:val="Heading2"/>
      </w:pPr>
      <w:r>
        <w:t>Volltext</w:t>
      </w:r>
    </w:p>
    <w:p>
      <w:r>
        <w:t>Wallis Sonstiges Gericht Sonstige Kammer 02.03.2009 ZZ 09 7 Valais Autre tribunal Autre chambre 02.03.2009 ZZ 09 7 Vallese Altro tribunale Altro camera 02.03.2009 ZZ 09 7</w:t>
      </w:r>
    </w:p>
    <w:p>
      <w:r>
        <w:t>RVJ/ZWR 2009 183 ATC (Présidente de l’autorité cantonale de surveillance des avocats) du 2 mars 2009, Me X. Levée du secret professionnel de l’avocat (art. 13 al. 1 LLCA) L’avocat doit être délié du secret professionnel afin de pouvoir prouver l’étendue de sa créance d’honoraires dans l’action en paiement qui l’oppose à un client qui refuse de s’en acquitter. Entbindung des Anwalts vom Berufsgeheimnis (Art. 13 Abs. 1 BGFA) Der Anwalt muss vom Berufsgeheimnis entbunden werden, damit er seine Honorar- forderung in einem Forderungsprozess gegen einen nicht zahlungswilligen Mandan- ten beweisen kann. Considérants (extraits) que l’intérêt de l’avocat à pouvoir obtenir le paiement de ses hono- raires constitue un élément de poids qui l’emporte en principe sur celui de la collectivité, mais aussi sur l’intérêt de son client à la protec- tion de sa sphère privée (arrêt 2P.90/2002 du 8 juillet 2002 consid. 5 et jurisprudence et doctrine citées; Pfeifer, Kommentar zum Anwaltsge- setz, 2005, n. 70 ss ad art. 13 LLCA; Corboz, Le secret professionnel de l’avocat selon l’</w:t>
      </w:r>
    </w:p>
    <w:p>
      <w:r>
        <w:t>Wallis Sonstiges Gericht Sonstige Kammer Valais Autre tribunal Autre chambre Vallese Altro tribunale Altro camera KGVS ZZ Kollektive Fälle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