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2021 S. 222-223 vom 21. September 2020</w:t>
      </w:r>
    </w:p>
    <w:p>
      <w:r>
        <w:t>VS Kantonsgericht, 2020-09-21, DE</w:t>
      </w:r>
    </w:p>
    <w:p>
      <w:r>
        <w:rPr>
          <w:b/>
        </w:rPr>
        <w:t xml:space="preserve">Quelle: </w:t>
      </w:r>
      <w:r>
        <w:t>https://mcp.opencaselaw.ch/entscheid/vs_gerichte_ZWR_2021_S._222-223</w:t>
      </w:r>
    </w:p>
    <w:p>
      <w:r>
        <w:t>FR: VS_GERICHTE ZWR 2021 S. 222-223 du 21 septembre 2020</w:t>
      </w:r>
    </w:p>
    <w:p>
      <w:r>
        <w:t>IT: VS_GERICHTE ZWR 2021 S. 222-223 del 21 settembre 2020</w:t>
      </w:r>
    </w:p>
    <w:p>
      <w:pPr>
        <w:pStyle w:val="Heading2"/>
      </w:pPr>
      <w:r>
        <w:t>Regeste</w:t>
      </w:r>
    </w:p>
    <w:p>
      <w:r>
        <w:t>222 RVJ / ZWR 2021 Strafrecht - Friedensbürgschaft - KGE (Einzelrichter der Straf-kammer) vom 21. September 2020, A. und weitere c. X und Staats-anwaltschaft - TCV P3 20 128 Friedensbürgschaft (Art. 66 StGB) - Die Friedensbürgschaft kann</w:t>
      </w:r>
    </w:p>
    <w:p>
      <w:pPr>
        <w:pStyle w:val="Heading2"/>
      </w:pPr>
      <w:r>
        <w:t>Volltext</w:t>
      </w:r>
    </w:p>
    <w:p>
      <w:r>
        <w:t>Wallis Kantonsgericht 21.09.2020 ZWR 2021 S. 222-223 (KGVS P3-20-128) Valais Tribunal cantonal 21.09.2020 ZWR 2021 S. 222-223 (KGVS P3-20-128) Vallese Kantonsgericht 21.09.2020 ZWR 2021 S. 222-223 (KGVS P3-20-128)</w:t>
      </w:r>
    </w:p>
    <w:p>
      <w:r>
        <w:t>222 RVJ / ZWR 2021 Strafrecht - Friedensbürgschaft - KGE (Einzelrichter der Straf-kammer) vom 21. September 2020, A. und weitere c. X und Staats-anwaltschaft - TCV P3 20 128 Friedensbürgschaft (Art. 66 StGB) - Die Friedensbürgschaft kann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