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2020 S. 328-332 vom 14. Februar 2020</w:t>
      </w:r>
    </w:p>
    <w:p>
      <w:r>
        <w:t>VS Kantonsgericht, 2020-02-14, DE</w:t>
      </w:r>
    </w:p>
    <w:p>
      <w:r>
        <w:rPr>
          <w:b/>
        </w:rPr>
        <w:t xml:space="preserve">Quelle: </w:t>
      </w:r>
      <w:r>
        <w:t>https://mcp.opencaselaw.ch/entscheid/vs_gerichte_ZWR_2020_S._328-332</w:t>
      </w:r>
    </w:p>
    <w:p>
      <w:r>
        <w:t>FR: VS_GERICHTE ZWR 2020 S. 328-332 du 14 février 2020</w:t>
      </w:r>
    </w:p>
    <w:p>
      <w:r>
        <w:t>IT: VS_GERICHTE ZWR 2020 S. 328-332 del 14 febbraio 2020</w:t>
      </w:r>
    </w:p>
    <w:p>
      <w:pPr>
        <w:pStyle w:val="Heading2"/>
      </w:pPr>
      <w:r>
        <w:t>Regeste</w:t>
      </w:r>
    </w:p>
    <w:p>
      <w:r>
        <w:t>328 RVJ / ZWR 2020 Nebenstrafrecht – Betäubungsmittel – Widerhandlung zum eigenen Konsum – KGE (Einzelrichter der I. Strafrechtlichen Abteilung) vom 14. Februar 2020, Staatsanwaltschaft c. X. – TCV P1 19 66 Abgrenzung zwischen Art. 19 und</w:t>
      </w:r>
    </w:p>
    <w:p>
      <w:pPr>
        <w:pStyle w:val="Heading2"/>
      </w:pPr>
      <w:r>
        <w:t>Volltext</w:t>
      </w:r>
    </w:p>
    <w:p>
      <w:r>
        <w:t>Wallis Kantonsgericht 14.02.2020 ZWR 2020 S. 328-332 (KGVS P1-19-66) Valais Tribunal cantonal 14.02.2020 ZWR 2020 S. 328-332 (KGVS P1-19-66) Vallese Kantonsgericht 14.02.2020 ZWR 2020 S. 328-332 (KGVS P1-19-66)</w:t>
      </w:r>
    </w:p>
    <w:p>
      <w:r>
        <w:t>328 RVJ / ZWR 2020 Nebenstrafrecht – Betäubungsmittel – Widerhandlung zum eigenen Konsum – KGE (Einzelrichter der I. Strafrechtlichen Abteilung) vom 14. Februar 2020, Staatsanwaltschaft c. X. – TCV P1 19 66 Abgrenzung zwischen Art. 19 und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