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320-321 vom 16. März 2020</w:t>
      </w:r>
    </w:p>
    <w:p>
      <w:r>
        <w:t>VS Kantonsgericht, 2020-03-16, DE</w:t>
      </w:r>
    </w:p>
    <w:p>
      <w:r>
        <w:rPr>
          <w:b/>
        </w:rPr>
        <w:t xml:space="preserve">Quelle: </w:t>
      </w:r>
      <w:r>
        <w:t>https://mcp.opencaselaw.ch/entscheid/vs_gerichte_ZWR_2020_S._320-321</w:t>
      </w:r>
    </w:p>
    <w:p>
      <w:r>
        <w:t>FR: VS_GERICHTE ZWR 2020 S. 320-321 du 16 mars 2020</w:t>
      </w:r>
    </w:p>
    <w:p>
      <w:r>
        <w:t>IT: VS_GERICHTE ZWR 2020 S. 320-321 del 16 marzo 2020</w:t>
      </w:r>
    </w:p>
    <w:p>
      <w:pPr>
        <w:pStyle w:val="Heading2"/>
      </w:pPr>
      <w:r>
        <w:t>Regeste</w:t>
      </w:r>
    </w:p>
    <w:p>
      <w:r>
        <w:t>320 RVJ / ZWR 2020 Strafprozessrecht – Entschädigung der Privatklägerschaft – KGE (I. Strafrechtliche Abteilung) vom 16. März 2020, Staatsanwalt-schaft und X. c. Y. – TCV P1 19 57 Entschädigungsanspruch der Privatklägerschaft (Art. 433 St</w:t>
      </w:r>
    </w:p>
    <w:p>
      <w:pPr>
        <w:pStyle w:val="Heading2"/>
      </w:pPr>
      <w:r>
        <w:t>Volltext</w:t>
      </w:r>
    </w:p>
    <w:p>
      <w:r>
        <w:t>Wallis Kantonsgericht 16.03.2020 ZWR 2020 S. 320-321 (KGVS P1-19-57) Valais Tribunal cantonal 16.03.2020 ZWR 2020 S. 320-321 (KGVS P1-19-57) Vallese Kantonsgericht 16.03.2020 ZWR 2020 S. 320-321 (KGVS P1-19-57)</w:t>
      </w:r>
    </w:p>
    <w:p>
      <w:r>
        <w:t>320 RVJ / ZWR 2020 Strafprozessrecht – Entschädigung der Privatklägerschaft – KGE (I. Strafrechtliche Abteilung) vom 16. März 2020, Staatsanwalt-schaft und X. c. Y. – TCV P1 19 57 Entschädigungsanspruch der Privatklägerschaft (Art. 433 St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