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2020 S. 266-268 vom 29. Januar 2020</w:t>
      </w:r>
    </w:p>
    <w:p>
      <w:r>
        <w:t>VS Kantonsgericht, 2020-01-29, DE</w:t>
      </w:r>
    </w:p>
    <w:p>
      <w:r>
        <w:rPr>
          <w:b/>
        </w:rPr>
        <w:t xml:space="preserve">Quelle: </w:t>
      </w:r>
      <w:r>
        <w:t>https://mcp.opencaselaw.ch/entscheid/vs_gerichte_ZWR_2020_S._266-268</w:t>
      </w:r>
    </w:p>
    <w:p>
      <w:r>
        <w:t>FR: VS_GERICHTE ZWR 2020 S. 266-268 du 29 janvier 2020</w:t>
      </w:r>
    </w:p>
    <w:p>
      <w:r>
        <w:t>IT: VS_GERICHTE ZWR 2020 S. 266-268 del 29 gennaio 2020</w:t>
      </w:r>
    </w:p>
    <w:p>
      <w:pPr>
        <w:pStyle w:val="Heading2"/>
      </w:pPr>
      <w:r>
        <w:t>Regeste</w:t>
      </w:r>
    </w:p>
    <w:p>
      <w:r>
        <w:t>266 RVJ / ZWR 2020 Zivilrecht – Sachenrecht - KGE (Einzelrichter der I. Zivilrechtlichen Abteilung) vom 29. Januar 2020, V, W, X und Y c. Z – TCV C3 19 169 Inhalt eines vertraglich vereinbarten Fusswegrechts - Soweit sich aus dem Grundbuc</w:t>
      </w:r>
    </w:p>
    <w:p>
      <w:pPr>
        <w:pStyle w:val="Heading2"/>
      </w:pPr>
      <w:r>
        <w:t>Volltext</w:t>
      </w:r>
    </w:p>
    <w:p>
      <w:r>
        <w:t>Wallis Kantonsgericht 29.01.2020 ZWR 2020 S. 266-268 (KGVS C3-19-169) Valais Tribunal cantonal 29.01.2020 ZWR 2020 S. 266-268 (KGVS C3-19-169) Vallese Kantonsgericht 29.01.2020 ZWR 2020 S. 266-268 (KGVS C3-19-169)</w:t>
      </w:r>
    </w:p>
    <w:p>
      <w:r>
        <w:t>266 RVJ / ZWR 2020 Zivilrecht – Sachenrecht - KGE (Einzelrichter der I. Zivilrechtlichen Abteilung) vom 29. Januar 2020, V, W, X und Y c. Z – TCV C3 19 169 Inhalt eines vertraglich vereinbarten Fusswegrechts - Soweit sich aus dem Grundbuc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