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54-59 vom 2. Mai 2018</w:t>
      </w:r>
    </w:p>
    <w:p>
      <w:r>
        <w:t>VS Kantonsgericht, 2018-05-02, DE</w:t>
      </w:r>
    </w:p>
    <w:p>
      <w:r>
        <w:rPr>
          <w:b/>
        </w:rPr>
        <w:t xml:space="preserve">Quelle: </w:t>
      </w:r>
      <w:r>
        <w:t>https://mcp.opencaselaw.ch/entscheid/vs_gerichte_ZWR_2019_S._54-59</w:t>
      </w:r>
    </w:p>
    <w:p>
      <w:r>
        <w:t>FR: VS_GERICHTE ZWR 2019 S. 54-59 du 2 mai 2018</w:t>
      </w:r>
    </w:p>
    <w:p>
      <w:r>
        <w:t>IT: VS_GERICHTE ZWR 2019 S. 54-59 del 2 maggio 2018</w:t>
      </w:r>
    </w:p>
    <w:p>
      <w:pPr>
        <w:pStyle w:val="Heading2"/>
      </w:pPr>
      <w:r>
        <w:t>Regeste</w:t>
      </w:r>
    </w:p>
    <w:p>
      <w:r>
        <w:t>54 RVJ / ZWR 2019 Beamtenrecht Fonction publique KGE (öffentlichrechtliche Abteilung) vom 2. Mai 2018 - A1 17 167 Kündigungsgrund bei ordentlicher Kündigung; Treuepflicht - Die ordentliche Kündigung gemäss Art. 58 kGPers setzt einen sachl</w:t>
      </w:r>
    </w:p>
    <w:p>
      <w:pPr>
        <w:pStyle w:val="Heading2"/>
      </w:pPr>
      <w:r>
        <w:t>Volltext</w:t>
      </w:r>
    </w:p>
    <w:p>
      <w:r>
        <w:t>Wallis Kantonsgericht 02.05.2018 ZWR 2019 S. 54-59 (KGVS A1-17-167) Valais Tribunal cantonal 02.05.2018 ZWR 2019 S. 54-59 (KGVS A1-17-167) Vallese Kantonsgericht 02.05.2018 ZWR 2019 S. 54-59 (KGVS A1-17-167)</w:t>
      </w:r>
    </w:p>
    <w:p>
      <w:r>
        <w:t>54 RVJ / ZWR 2019 Beamtenrecht Fonction publique KGE (öffentlichrechtliche Abteilung) vom 2. Mai 2018 - A1 17 167 Kündigungsgrund bei ordentlicher Kündigung; Treuepflicht - Die ordentliche Kündigung gemäss Art. 58 kGPers setzt einen sachl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