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235-238 vom 10. Januar 2019</w:t>
      </w:r>
    </w:p>
    <w:p>
      <w:r>
        <w:t>VS Kantonsgericht, 2019-01-10, DE</w:t>
      </w:r>
    </w:p>
    <w:p>
      <w:r>
        <w:rPr>
          <w:b/>
        </w:rPr>
        <w:t xml:space="preserve">Quelle: </w:t>
      </w:r>
      <w:r>
        <w:t>https://mcp.opencaselaw.ch/entscheid/vs_gerichte_ZWR_2019_S._235-238</w:t>
      </w:r>
    </w:p>
    <w:p>
      <w:r>
        <w:t>FR: VS_GERICHTE ZWR 2019 S. 235-238 du 10 janvier 2019</w:t>
      </w:r>
    </w:p>
    <w:p>
      <w:r>
        <w:t>IT: VS_GERICHTE ZWR 2019 S. 235-238 del 10 gennaio 2019</w:t>
      </w:r>
    </w:p>
    <w:p>
      <w:pPr>
        <w:pStyle w:val="Heading2"/>
      </w:pPr>
      <w:r>
        <w:t>Regeste</w:t>
      </w:r>
    </w:p>
    <w:p>
      <w:r>
        <w:t>RVJ / ZWR 2019 235 Rechtsprechung der Zivil- und Strafgerichtshöfe des Kantonsgerichts sowie des Bundesgerichts und der Bezirksgerichte Jurisprudence des cours civiles et pénales du Tribunal cantonal ainsi que du Tribunal fédéral et des t</w:t>
      </w:r>
    </w:p>
    <w:p>
      <w:pPr>
        <w:pStyle w:val="Heading2"/>
      </w:pPr>
      <w:r>
        <w:t>Volltext</w:t>
      </w:r>
    </w:p>
    <w:p>
      <w:r>
        <w:t>Wallis Kantonsgericht 10.01.2019 ZWR 2019 S. 235-238 (KGVS C3-18-262) Valais Tribunal cantonal 10.01.2019 ZWR 2019 S. 235-238 (KGVS C3-18-262) Vallese Kantonsgericht 10.01.2019 ZWR 2019 S. 235-238 (KGVS C3-18-262)</w:t>
      </w:r>
    </w:p>
    <w:p>
      <w:r>
        <w:t>RVJ / ZWR 2019 235 Rechtsprechung der Zivil- und Strafgerichtshöfe des Kantonsgerichts sowie des Bundesgerichts und der Bezirksgerichte Jurisprudence des cours civiles et pénales du Tribunal cantonal ainsi que du Tribunal fédéral et des 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