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166-169 vom 17. Juli 2018</w:t>
      </w:r>
    </w:p>
    <w:p>
      <w:r>
        <w:t>VS Kantonsgericht, 2018-07-17, DE</w:t>
      </w:r>
    </w:p>
    <w:p>
      <w:r>
        <w:rPr>
          <w:b/>
        </w:rPr>
        <w:t xml:space="preserve">Quelle: </w:t>
      </w:r>
      <w:r>
        <w:t>https://mcp.opencaselaw.ch/entscheid/vs_gerichte_ZWR_2019_S._166-169</w:t>
      </w:r>
    </w:p>
    <w:p>
      <w:r>
        <w:t>FR: VS_GERICHTE ZWR 2019 S. 166-169 du 17 juillet 2018</w:t>
      </w:r>
    </w:p>
    <w:p>
      <w:r>
        <w:t>IT: VS_GERICHTE ZWR 2019 S. 166-169 del 17 luglio 2018</w:t>
      </w:r>
    </w:p>
    <w:p>
      <w:pPr>
        <w:pStyle w:val="Heading2"/>
      </w:pPr>
      <w:r>
        <w:t>Regeste</w:t>
      </w:r>
    </w:p>
    <w:p>
      <w:r>
        <w:t>166 RVJ / ZWR 2019 Zivilrecht - Familienrecht - Kindesschutzmassnahmen - KGE (Einzelrichter der Zivilkammer) vom 17. Juli 2018 , X. c. Y. - TCV C3 17 235 Entscheidungen betreffend das unmündige Kind bei gemeinsamer elterlicher Sorge, jedo</w:t>
      </w:r>
    </w:p>
    <w:p>
      <w:pPr>
        <w:pStyle w:val="Heading2"/>
      </w:pPr>
      <w:r>
        <w:t>Volltext</w:t>
      </w:r>
    </w:p>
    <w:p>
      <w:r>
        <w:t>Wallis Kantonsgericht 17.07.2018 ZWR 2019 S. 166-169 (KGVS C3-17-235) Valais Tribunal cantonal 17.07.2018 ZWR 2019 S. 166-169 (KGVS C3-17-235) Vallese Kantonsgericht 17.07.2018 ZWR 2019 S. 166-169 (KGVS C3-17-235)</w:t>
      </w:r>
    </w:p>
    <w:p>
      <w:r>
        <w:t>166 RVJ / ZWR 2019 Zivilrecht - Familienrecht - Kindesschutzmassnahmen - KGE (Einzelrichter der Zivilkammer) vom 17. Juli 2018 , X. c. Y. - TCV C3 17 235 Entscheidungen betreffend das unmündige Kind bei gemeinsamer elterlicher Sorge, jedo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