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2015 S. 23-28 vom 23. Mai 2014</w:t>
      </w:r>
    </w:p>
    <w:p>
      <w:r>
        <w:t>VS Kantonsgericht, 2014-05-23, DE</w:t>
      </w:r>
    </w:p>
    <w:p>
      <w:r>
        <w:rPr>
          <w:b/>
        </w:rPr>
        <w:t xml:space="preserve">Quelle: </w:t>
      </w:r>
      <w:r>
        <w:t>https://mcp.opencaselaw.ch/entscheid/vs_gerichte_ZWR_2015_S._23-28</w:t>
      </w:r>
    </w:p>
    <w:p>
      <w:r>
        <w:t>FR: VS_GERICHTE ZWR 2015 S. 23-28 du 23 mai 2014</w:t>
      </w:r>
    </w:p>
    <w:p>
      <w:r>
        <w:t>IT: VS_GERICHTE ZWR 2015 S. 23-28 del 23 maggio 2014</w:t>
      </w:r>
    </w:p>
    <w:p>
      <w:pPr>
        <w:pStyle w:val="Heading2"/>
      </w:pPr>
      <w:r>
        <w:t>Regeste</w:t>
      </w:r>
    </w:p>
    <w:p>
      <w:r>
        <w:t>RVJ / ZWR 2015 23 Bauwesen - KGE (öffentlichrechtliche Abteilung) A1 13 379 vom 23. Mai 2014 Gebäudehöhe und gestaffelter Baukörper - Die Bauweise, die Stellung der Bauten, ihre Abmessungen und ihre Geschosszahl sowie die architektonisc</w:t>
      </w:r>
    </w:p>
    <w:p>
      <w:pPr>
        <w:pStyle w:val="Heading2"/>
      </w:pPr>
      <w:r>
        <w:t>Volltext</w:t>
      </w:r>
    </w:p>
    <w:p>
      <w:r>
        <w:t>Wallis Kantonsgericht 23.05.2014 ZWR 2015 S. 23-28 (KGVS A1-13-379) Valais Tribunal cantonal 23.05.2014 ZWR 2015 S. 23-28 (KGVS A1-13-379) Vallese Kantonsgericht 23.05.2014 ZWR 2015 S. 23-28 (KGVS A1-13-379)</w:t>
      </w:r>
    </w:p>
    <w:p>
      <w:r>
        <w:t>RVJ / ZWR 2015 23 Bauwesen - KGE (öffentlichrechtliche Abteilung) A1 13 379 vom 23. Mai 2014 Gebäudehöhe und gestaffelter Baukörper - Die Bauweise, die Stellung der Bauten, ihre Abmessungen und ihre Geschosszahl sowie die architektonisc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