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13-17 vom 10. Mai 2012</w:t>
      </w:r>
    </w:p>
    <w:p>
      <w:r>
        <w:t>VS Kantonsgericht, 2012-05-10, DE</w:t>
      </w:r>
    </w:p>
    <w:p>
      <w:r>
        <w:rPr>
          <w:b/>
        </w:rPr>
        <w:t xml:space="preserve">Quelle: </w:t>
      </w:r>
      <w:r>
        <w:t>https://mcp.opencaselaw.ch/entscheid/vs_gerichte_ZWR_2013_S._13-17</w:t>
      </w:r>
    </w:p>
    <w:p>
      <w:r>
        <w:t>FR: VS_GERICHTE ZWR 2013 S. 13-17 du 10 mai 2012</w:t>
      </w:r>
    </w:p>
    <w:p>
      <w:r>
        <w:t>IT: VS_GERICHTE ZWR 2013 S. 13-17 del 10 maggio 2012</w:t>
      </w:r>
    </w:p>
    <w:p>
      <w:pPr>
        <w:pStyle w:val="Heading2"/>
      </w:pPr>
      <w:r>
        <w:t>Regeste</w:t>
      </w:r>
    </w:p>
    <w:p>
      <w:r>
        <w:t>RVJ / ZVR 2013 13 Bauwesen – KGE A1 11 153 vom 10. Mai 2012 Zonenkonformität - Kleine und mittlere Gewerbebetriebe können bloss dann als zonenkonform in der Wohnzone bewilligt werden, wenn zwischen dem Gewerbebetrieb und der Wohn-zone ein</w:t>
      </w:r>
    </w:p>
    <w:p>
      <w:pPr>
        <w:pStyle w:val="Heading2"/>
      </w:pPr>
      <w:r>
        <w:t>Volltext</w:t>
      </w:r>
    </w:p>
    <w:p>
      <w:r>
        <w:t>Wallis Kantonsgericht 10.05.2012 ZWR 2013 S. 13-17 (KGVS A1-11-153) Valais Tribunal cantonal 10.05.2012 ZWR 2013 S. 13-17 (KGVS A1-11-153) Vallese Kantonsgericht 10.05.2012 ZWR 2013 S. 13-17 (KGVS A1-11-153)</w:t>
      </w:r>
    </w:p>
    <w:p>
      <w:r>
        <w:t>RVJ / ZVR 2013 13 Bauwesen – KGE A1 11 153 vom 10. Mai 2012 Zonenkonformität - Kleine und mittlere Gewerbebetriebe können bloss dann als zonenkonform in der Wohnzone bewilligt werden, wenn zwischen dem Gewerbebetrieb und der Wohn-zone ein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