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2012 S. 147-148 vom 21. Januar 2011</w:t>
      </w:r>
    </w:p>
    <w:p>
      <w:r>
        <w:t>VS Kantonsgericht, 2011-01-21, DE</w:t>
      </w:r>
    </w:p>
    <w:p>
      <w:r>
        <w:rPr>
          <w:b/>
        </w:rPr>
        <w:t xml:space="preserve">Quelle: </w:t>
      </w:r>
      <w:r>
        <w:t>https://mcp.opencaselaw.ch/entscheid/vs_gerichte_ZWR_2012_S._147-148</w:t>
      </w:r>
    </w:p>
    <w:p>
      <w:r>
        <w:t>FR: VS_GERICHTE ZWR 2012 S. 147-148 du 21 janvier 2011</w:t>
      </w:r>
    </w:p>
    <w:p>
      <w:r>
        <w:t>IT: VS_GERICHTE ZWR 2012 S. 147-148 del 21 gennaio 2011</w:t>
      </w:r>
    </w:p>
    <w:p>
      <w:pPr>
        <w:pStyle w:val="Heading2"/>
      </w:pPr>
      <w:r>
        <w:t>Regeste</w:t>
      </w:r>
    </w:p>
    <w:p>
      <w:r>
        <w:t>RVJ / ZWR 2012 147 Zivilrecht Droit civil KGVS C3 10 87 Zivilrecht – Prozessführungsbefugnis des Inhabers der elterlichen Sorge – Verzug des Unterhaltspflichtigen – KGE (Zivilkammer) vom 21. Januar 2011 – TCV C3 10 87 Prozessführungsbefugn</w:t>
      </w:r>
    </w:p>
    <w:p>
      <w:pPr>
        <w:pStyle w:val="Heading2"/>
      </w:pPr>
      <w:r>
        <w:t>Volltext</w:t>
      </w:r>
    </w:p>
    <w:p>
      <w:r>
        <w:t>Wallis Kantonsgericht 21.01.2011 ZWR 2012 S. 147-148 (KGVS C3-10-87) Valais Tribunal cantonal 21.01.2011 ZWR 2012 S. 147-148 (KGVS C3-10-87) Vallese Kantonsgericht 21.01.2011 ZWR 2012 S. 147-148 (KGVS C3-10-87)</w:t>
      </w:r>
    </w:p>
    <w:p>
      <w:r>
        <w:t>RVJ / ZWR 2012 147 Zivilrecht Droit civil KGVS C3 10 87 Zivilrecht – Prozessführungsbefugnis des Inhabers der elterlichen Sorge – Verzug des Unterhaltspflichtigen – KGE (Zivilkammer) vom 21. Januar 2011 – TCV C3 10 87 Prozessführungsbefugn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