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2011 S. 162-170 vom 30. Juni 2010</w:t>
      </w:r>
    </w:p>
    <w:p>
      <w:r>
        <w:t>VS Kantonsgericht, 2010-06-30, DE</w:t>
      </w:r>
    </w:p>
    <w:p>
      <w:r>
        <w:rPr>
          <w:b/>
        </w:rPr>
        <w:t xml:space="preserve">Quelle: </w:t>
      </w:r>
      <w:r>
        <w:t>https://mcp.opencaselaw.ch/entscheid/vs_gerichte_ZWR_2011_S._162-170</w:t>
      </w:r>
    </w:p>
    <w:p>
      <w:r>
        <w:t>FR: VS_GERICHTE ZWR 2011 S. 162-170 du 30 juin 2010</w:t>
      </w:r>
    </w:p>
    <w:p>
      <w:r>
        <w:t>IT: VS_GERICHTE ZWR 2011 S. 162-170 del 30 giugno 2010</w:t>
      </w:r>
    </w:p>
    <w:p>
      <w:pPr>
        <w:pStyle w:val="Heading2"/>
      </w:pPr>
      <w:r>
        <w:t>Regeste</w:t>
      </w:r>
    </w:p>
    <w:p>
      <w:r>
        <w:t>162 RVJ / ZWR 2011 Enteignung Expropriation KGVS A1 10 38 KGE A1 10 38 vom 30. Juni 2010 Entschädigung – Anwendbarkeit des neuen Enteignungsgesetzes (E. 1, 1.1 und 1.2). – Enteignungsentschädigung. Festlegung des Verkehrswertes für Boden i</w:t>
      </w:r>
    </w:p>
    <w:p>
      <w:pPr>
        <w:pStyle w:val="Heading2"/>
      </w:pPr>
      <w:r>
        <w:t>Volltext</w:t>
      </w:r>
    </w:p>
    <w:p>
      <w:r>
        <w:t>Wallis Kantonsgericht 30.06.2010 ZWR 2011 S. 162-170 (KGVS A1-10-38) Valais Tribunal cantonal 30.06.2010 ZWR 2011 S. 162-170 (KGVS A1-10-38) Vallese Kantonsgericht 30.06.2010 ZWR 2011 S. 162-170 (KGVS A1-10-38)</w:t>
      </w:r>
    </w:p>
    <w:p>
      <w:r>
        <w:t>162 RVJ / ZWR 2011 Enteignung Expropriation KGVS A1 10 38 KGE A1 10 38 vom 30. Juni 2010 Entschädigung – Anwendbarkeit des neuen Enteignungsgesetzes (E. 1, 1.1 und 1.2). – Enteignungsentschädigung. Festlegung des Verkehrswertes für Boden 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