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2009 S. 292-293 vom 11. März 2009</w:t>
      </w:r>
    </w:p>
    <w:p>
      <w:r>
        <w:t>VS Kantonsgericht, 2009-03-11, DE</w:t>
      </w:r>
    </w:p>
    <w:p>
      <w:r>
        <w:rPr>
          <w:b/>
        </w:rPr>
        <w:t xml:space="preserve">Quelle: </w:t>
      </w:r>
      <w:r>
        <w:t>https://mcp.opencaselaw.ch/entscheid/vs_gerichte_ZWR_2009_S._292-293</w:t>
      </w:r>
    </w:p>
    <w:p>
      <w:r>
        <w:t>FR: VS_GERICHTE ZWR 2009 S. 292-293 du 11 mars 2009</w:t>
      </w:r>
    </w:p>
    <w:p>
      <w:r>
        <w:t>IT: VS_GERICHTE ZWR 2009 S. 292-293 del 11 marzo 2009</w:t>
      </w:r>
    </w:p>
    <w:p>
      <w:pPr>
        <w:pStyle w:val="Heading2"/>
      </w:pPr>
      <w:r>
        <w:t>Regeste</w:t>
      </w:r>
    </w:p>
    <w:p>
      <w:r>
        <w:t>292 RVJ / ZWR 2009 KGVS C3 08 109 KGE (Kassationsbehörde) vom 11. März 2009 i.S. Stiftung AuffangeinrichtungBVG c. X. Verjährung: Beginn (Art. 130 OR; Art. 41 Abs. 2 BVG) Bei einem zwangsweisen Anschluss eines Arbeitgebers an die Stiftung</w:t>
      </w:r>
    </w:p>
    <w:p>
      <w:pPr>
        <w:pStyle w:val="Heading2"/>
      </w:pPr>
      <w:r>
        <w:t>Volltext</w:t>
      </w:r>
    </w:p>
    <w:p>
      <w:r>
        <w:t>Wallis Kantonsgericht 11.03.2009 ZWR 2009 S. 292-293 (KGVS C3-08-109) Valais Tribunal cantonal 11.03.2009 ZWR 2009 S. 292-293 (KGVS C3-08-109) Vallese Kantonsgericht 11.03.2009 ZWR 2009 S. 292-293 (KGVS C3-08-109)</w:t>
      </w:r>
    </w:p>
    <w:p>
      <w:r>
        <w:t>292 RVJ / ZWR 2009 KGVS C3 08 109 KGE (Kassationsbehörde) vom 11. März 2009 i.S. Stiftung AuffangeinrichtungBVG c. X. Verjährung: Beginn (Art. 130 OR; Art. 41 Abs. 2 BVG) Bei einem zwangsweisen Anschluss eines Arbeitgebers an die Stiftung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