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261-267 vom 26. Mai 2009</w:t>
      </w:r>
    </w:p>
    <w:p>
      <w:r>
        <w:t>VS Kantonsgericht, 2009-05-26, DE</w:t>
      </w:r>
    </w:p>
    <w:p>
      <w:r>
        <w:rPr>
          <w:b/>
        </w:rPr>
        <w:t xml:space="preserve">Quelle: </w:t>
      </w:r>
      <w:r>
        <w:t>https://mcp.opencaselaw.ch/entscheid/vs_gerichte_ZWR_2009_S._261-267</w:t>
      </w:r>
    </w:p>
    <w:p>
      <w:r>
        <w:t>FR: VS_GERICHTE ZWR 2009 S. 261-267 du 26 mai 2009</w:t>
      </w:r>
    </w:p>
    <w:p>
      <w:r>
        <w:t>IT: VS_GERICHTE ZWR 2009 S. 261-267 del 26 maggio 2009</w:t>
      </w:r>
    </w:p>
    <w:p>
      <w:pPr>
        <w:pStyle w:val="Heading2"/>
      </w:pPr>
      <w:r>
        <w:t>Regeste</w:t>
      </w:r>
    </w:p>
    <w:p>
      <w:r>
        <w:t>RVJ / ZWR 2009 261 KGVS C3 09 12 KGE (Kassationsbehörde) vom 26. Mai 2009 i.S. X. c. Y., Z. und Co. Vertretungsbeistandschaft (Art. 392 ZGB): Voraussetzungen; Vollmachterteilungüber die Handlungsunfähigkeit hinaus (Art. 35 OR und Art. 405</w:t>
      </w:r>
    </w:p>
    <w:p>
      <w:pPr>
        <w:pStyle w:val="Heading2"/>
      </w:pPr>
      <w:r>
        <w:t>Volltext</w:t>
      </w:r>
    </w:p>
    <w:p>
      <w:r>
        <w:t>Wallis Kantonsgericht 26.05.2009 ZWR 2009 S. 261-267 (KGVS C3-09-12) Valais Tribunal cantonal 26.05.2009 ZWR 2009 S. 261-267 (KGVS C3-09-12) Vallese Kantonsgericht 26.05.2009 ZWR 2009 S. 261-267 (KGVS C3-09-12)</w:t>
      </w:r>
    </w:p>
    <w:p>
      <w:r>
        <w:t>RVJ / ZWR 2009 261 KGVS C3 09 12 KGE (Kassationsbehörde) vom 26. Mai 2009 i.S. X. c. Y., Z. und Co. Vertretungsbeistandschaft (Art. 392 ZGB): Voraussetzungen; Vollmachterteilungüber die Handlungsunfähigkeit hinaus (Art. 35 OR und Art. 405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