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250-255 vom 30. April 2009</w:t>
      </w:r>
    </w:p>
    <w:p>
      <w:r>
        <w:t>VS Kantonsgericht, 2009-04-30, DE</w:t>
      </w:r>
    </w:p>
    <w:p>
      <w:r>
        <w:rPr>
          <w:b/>
        </w:rPr>
        <w:t xml:space="preserve">Quelle: </w:t>
      </w:r>
      <w:r>
        <w:t>https://mcp.opencaselaw.ch/entscheid/vs_gerichte_ZWR_2009_S._250-255</w:t>
      </w:r>
    </w:p>
    <w:p>
      <w:r>
        <w:t>FR: VS_GERICHTE ZWR 2009 S. 250-255 du 30 avril 2009</w:t>
      </w:r>
    </w:p>
    <w:p>
      <w:r>
        <w:t>IT: VS_GERICHTE ZWR 2009 S. 250-255 del 30 aprile 2009</w:t>
      </w:r>
    </w:p>
    <w:p>
      <w:pPr>
        <w:pStyle w:val="Heading2"/>
      </w:pPr>
      <w:r>
        <w:t>Regeste</w:t>
      </w:r>
    </w:p>
    <w:p>
      <w:r>
        <w:t>250 RVJ / ZWR 2009 BGBRI Z1 08 1 Urteil des Bezirksgerichtes Brig vom 30. April 2009 i.S. X. c. Y. Schadenersatz aus vorsorglichen Massnahmen (Art. 296 ZPO) – Der Schadenersatzanspruch nach Art. 296 Abs. 1 ZPO beruht auf kantonalem Recht (</w:t>
      </w:r>
    </w:p>
    <w:p>
      <w:pPr>
        <w:pStyle w:val="Heading2"/>
      </w:pPr>
      <w:r>
        <w:t>Volltext</w:t>
      </w:r>
    </w:p>
    <w:p>
      <w:r>
        <w:t>Wallis Bezirksgericht Brig 30.04.2009 ZWR 2009 S. 250-255 (BGBRI Z1-08-1) Valais Tribunal du district Brigue 30.04.2009 ZWR 2009 S. 250-255 (BGBRI Z1-08-1) Vallese Bezirksgericht Brig 30.04.2009 ZWR 2009 S. 250-255 (BGBRI Z1-08-1)</w:t>
      </w:r>
    </w:p>
    <w:p>
      <w:r>
        <w:t>250 RVJ / ZWR 2009 BGBRI Z1 08 1 Urteil des Bezirksgerichtes Brig vom 30. April 2009 i.S. X. c. Y. Schadenersatz aus vorsorglichen Massnahmen (Art. 296 ZPO) – Der Schadenersatzanspruch nach Art. 296 Abs. 1 ZPO beruht auf kantonalem Recht (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