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2006 S. 338-339 vom 11. Juli 2006</w:t>
      </w:r>
    </w:p>
    <w:p>
      <w:r>
        <w:t>VS Kantonsgericht, 2006-07-11, DE</w:t>
      </w:r>
    </w:p>
    <w:p>
      <w:r>
        <w:rPr>
          <w:b/>
        </w:rPr>
        <w:t xml:space="preserve">Quelle: </w:t>
      </w:r>
      <w:r>
        <w:t>https://mcp.opencaselaw.ch/entscheid/vs_gerichte_ZWR_2006_S._338-339</w:t>
      </w:r>
    </w:p>
    <w:p>
      <w:r>
        <w:t>FR: VS_GERICHTE ZWR 2006 S. 338-339 du 11 juillet 2006</w:t>
      </w:r>
    </w:p>
    <w:p>
      <w:r>
        <w:t>IT: VS_GERICHTE ZWR 2006 S. 338-339 del 11 luglio 2006</w:t>
      </w:r>
    </w:p>
    <w:p>
      <w:pPr>
        <w:pStyle w:val="Heading2"/>
      </w:pPr>
      <w:r>
        <w:t>Regeste</w:t>
      </w:r>
    </w:p>
    <w:p>
      <w:r>
        <w:t>338 KGVS P3 06 18 KGE (Strafkammer) vom 11. Juli 2006 i.S. X. c. UntersuchungsrichteramtOberwallis (Beschwerde). Strafantrag: Antragsrecht bei Verletzung des Berufsgeheimnisses (Art. 321i.V.m. Art. 28 StGB). Antragsberechtigt ist grundsätz</w:t>
      </w:r>
    </w:p>
    <w:p>
      <w:pPr>
        <w:pStyle w:val="Heading2"/>
      </w:pPr>
      <w:r>
        <w:t>Volltext</w:t>
      </w:r>
    </w:p>
    <w:p>
      <w:r>
        <w:t>Wallis Kantonsgericht 11.07.2006 ZWR 2006 S. 338-339 (KGVS P3-06-18) Valais Tribunal cantonal 11.07.2006 ZWR 2006 S. 338-339 (KGVS P3-06-18) Vallese Kantonsgericht 11.07.2006 ZWR 2006 S. 338-339 (KGVS P3-06-18)</w:t>
      </w:r>
    </w:p>
    <w:p>
      <w:r>
        <w:t>338 KGVS P3 06 18 KGE (Strafkammer) vom 11. Juli 2006 i.S. X. c. UntersuchungsrichteramtOberwallis (Beschwerde). Strafantrag: Antragsrecht bei Verletzung des Berufsgeheimnisses (Art. 321i.V.m. Art. 28 StGB). Antragsberechtigt ist grundsätz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