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137-139 vom 23. November 2005</w:t>
      </w:r>
    </w:p>
    <w:p>
      <w:r>
        <w:t>VS Kantonsgericht, 2005-11-23, DE</w:t>
      </w:r>
    </w:p>
    <w:p>
      <w:r>
        <w:rPr>
          <w:b/>
        </w:rPr>
        <w:t xml:space="preserve">Quelle: </w:t>
      </w:r>
      <w:r>
        <w:t>https://mcp.opencaselaw.ch/entscheid/vs_gerichte_ZWR_2006_S._137-139</w:t>
      </w:r>
    </w:p>
    <w:p>
      <w:r>
        <w:t>FR: VS_GERICHTE ZWR 2006 S. 137-139 du 23 novembre 2005</w:t>
      </w:r>
    </w:p>
    <w:p>
      <w:r>
        <w:t>IT: VS_GERICHTE ZWR 2006 S. 137-139 del 23 novembre 2005</w:t>
      </w:r>
    </w:p>
    <w:p>
      <w:pPr>
        <w:pStyle w:val="Heading2"/>
      </w:pPr>
      <w:r>
        <w:t>Regeste</w:t>
      </w:r>
    </w:p>
    <w:p>
      <w:r>
        <w:t>137 KGVS C3 05 79 / KGVS C3 05 80 KGE (Kassationshof in Zivilsachen) vom 23. November 2005 i.S. X. c. Y.(Nichtigkeitsklage). Vorladung zur Rechtsöffnungssitzung und Anspruch auf rechtliches Gehör. – Die Vorladung zur Rechtsöffnungssitzung</w:t>
      </w:r>
    </w:p>
    <w:p>
      <w:pPr>
        <w:pStyle w:val="Heading2"/>
      </w:pPr>
      <w:r>
        <w:t>Volltext</w:t>
      </w:r>
    </w:p>
    <w:p>
      <w:r>
        <w:t>Wallis Kantonsgericht 23.11.2005 ZWR 2006 S. 137-139 (KGVS C3-05-79) Valais Tribunal cantonal 23.11.2005 ZWR 2006 S. 137-139 (KGVS C3-05-79) Vallese Kantonsgericht 23.11.2005 ZWR 2006 S. 137-139 (KGVS C3-05-79)</w:t>
      </w:r>
    </w:p>
    <w:p>
      <w:r>
        <w:t>137 KGVS C3 05 79 / KGVS C3 05 80 KGE (Kassationshof in Zivilsachen) vom 23. November 2005 i.S. X. c. Y.(Nichtigkeitsklage). Vorladung zur Rechtsöffnungssitzung und Anspruch auf rechtliches Gehör. – Die Vorladung zur Rechtsöffnungssitzung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