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263-270 vom 6. Juni 2019</w:t>
      </w:r>
    </w:p>
    <w:p>
      <w:r>
        <w:t>VS Kantonsgericht, 2019-06-06, DE</w:t>
      </w:r>
    </w:p>
    <w:p>
      <w:r>
        <w:rPr>
          <w:b/>
        </w:rPr>
        <w:t xml:space="preserve">Quelle: </w:t>
      </w:r>
      <w:r>
        <w:t>https://mcp.opencaselaw.ch/entscheid/vs_gerichte_RVJ_2021_p._263-270</w:t>
      </w:r>
    </w:p>
    <w:p>
      <w:r>
        <w:t>FR: VS_GERICHTE RVJ 2021 p. 263-270 du 6 juin 2019</w:t>
      </w:r>
    </w:p>
    <w:p>
      <w:r>
        <w:t>IT: VS_GERICHTE RVJ 2021 p. 263-270 del 6 giugno 2019</w:t>
      </w:r>
    </w:p>
    <w:p>
      <w:pPr>
        <w:pStyle w:val="Heading2"/>
      </w:pPr>
      <w:r>
        <w:t>Regeste</w:t>
      </w:r>
    </w:p>
    <w:p>
      <w:r>
        <w:t>RVJ / ZWR 2021 263 Droit civil – droit des successions – ATC (juge de la Cour civile II) du 6 juin 2019, X. et Y. c. Z. – TCV C1 18 145 Administration d’office ; droit international privé - L’administration d’office au sens de l’art. 554</w:t>
      </w:r>
    </w:p>
    <w:p>
      <w:pPr>
        <w:pStyle w:val="Heading2"/>
      </w:pPr>
      <w:r>
        <w:t>Volltext</w:t>
      </w:r>
    </w:p>
    <w:p>
      <w:r>
        <w:t>Wallis Kantonsgericht 06.06.2019 RVJ 2021 p. 263-270 (TCVS C1-18-145) Valais Tribunal cantonal 06.06.2019 RVJ 2021 p. 263-270 (TCVS C1-18-145) Vallese Kantonsgericht 06.06.2019 RVJ 2021 p. 263-270 (TCVS C1-18-145)</w:t>
      </w:r>
    </w:p>
    <w:p>
      <w:r>
        <w:t>RVJ / ZWR 2021 263 Droit civil – droit des successions – ATC (juge de la Cour civile II) du 6 juin 2019, X. et Y. c. Z. – TCV C1 18 145 Administration d’office ; droit international privé - L’administration d’office au sens de l’art. 554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