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172-176 vom 30. Januar 2020</w:t>
      </w:r>
    </w:p>
    <w:p>
      <w:r>
        <w:t>VS Kantonsgericht, 2020-01-30, DE</w:t>
      </w:r>
    </w:p>
    <w:p>
      <w:r>
        <w:rPr>
          <w:b/>
        </w:rPr>
        <w:t xml:space="preserve">Quelle: </w:t>
      </w:r>
      <w:r>
        <w:t>https://mcp.opencaselaw.ch/entscheid/vs_gerichte_RVJ_2021_p._172-176</w:t>
      </w:r>
    </w:p>
    <w:p>
      <w:r>
        <w:t>FR: VS_GERICHTE RVJ 2021 p. 172-176 du 30 janvier 2020</w:t>
      </w:r>
    </w:p>
    <w:p>
      <w:r>
        <w:t>IT: VS_GERICHTE RVJ 2021 p. 172-176 del 30 gennaio 2020</w:t>
      </w:r>
    </w:p>
    <w:p>
      <w:pPr>
        <w:pStyle w:val="Heading2"/>
      </w:pPr>
      <w:r>
        <w:t>Regeste</w:t>
      </w:r>
    </w:p>
    <w:p>
      <w:r>
        <w:t>172 RVJ / ZWR 2021 Droit des obligations Obligationenrecht Interruption de la prescription - défaut de légitimation - ATC (Cour civile II) du 30 janvier 2020, Communauté des propriétaires d’étages de l’immeuble X. c. dame Y. - TCV C1 17 2</w:t>
      </w:r>
    </w:p>
    <w:p>
      <w:pPr>
        <w:pStyle w:val="Heading2"/>
      </w:pPr>
      <w:r>
        <w:t>Volltext</w:t>
      </w:r>
    </w:p>
    <w:p>
      <w:r>
        <w:t>Wallis Kantonsgericht 30.01.2020 RVJ 2021 p. 172-176 (TCVS C1-17-232) Valais Tribunal cantonal 30.01.2020 RVJ 2021 p. 172-176 (TCVS C1-17-232) Vallese Kantonsgericht 30.01.2020 RVJ 2021 p. 172-176 (TCVS C1-17-232)</w:t>
      </w:r>
    </w:p>
    <w:p>
      <w:r>
        <w:t>172 RVJ / ZWR 2021 Droit des obligations Obligationenrecht Interruption de la prescription - défaut de légitimation - ATC (Cour civile II) du 30 janvier 2020, Communauté des propriétaires d’étages de l’immeuble X. c. dame Y. - TCV C1 17 2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