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158-168 vom 25. Mai 2020</w:t>
      </w:r>
    </w:p>
    <w:p>
      <w:r>
        <w:t>VS Kantonsgericht, 2020-05-25, DE</w:t>
      </w:r>
    </w:p>
    <w:p>
      <w:r>
        <w:rPr>
          <w:b/>
        </w:rPr>
        <w:t xml:space="preserve">Quelle: </w:t>
      </w:r>
      <w:r>
        <w:t>https://mcp.opencaselaw.ch/entscheid/vs_gerichte_RVJ_2021_p._158-168</w:t>
      </w:r>
    </w:p>
    <w:p>
      <w:r>
        <w:t>FR: VS_GERICHTE RVJ 2021 p. 158-168 du 25 mai 2020</w:t>
      </w:r>
    </w:p>
    <w:p>
      <w:r>
        <w:t>IT: VS_GERICHTE RVJ 2021 p. 158-168 del 25 maggio 2020</w:t>
      </w:r>
    </w:p>
    <w:p>
      <w:pPr>
        <w:pStyle w:val="Heading2"/>
      </w:pPr>
      <w:r>
        <w:t>Regeste</w:t>
      </w:r>
    </w:p>
    <w:p>
      <w:r>
        <w:t>158 RVJ / ZWR 2021 Droit civil - qualité pour agir en cas - défaut des parties communes - ATC (juge de la Cour civile II) du 25 mai 2020, époux X. c. époux Y. - TCV C1 18 6 Qualité pour agir en cas de défaut des parties communes d’une cop</w:t>
      </w:r>
    </w:p>
    <w:p>
      <w:pPr>
        <w:pStyle w:val="Heading2"/>
      </w:pPr>
      <w:r>
        <w:t>Volltext</w:t>
      </w:r>
    </w:p>
    <w:p>
      <w:r>
        <w:t>Wallis Kantonsgericht 25.05.2020 RVJ 2021 p. 158-168 (TCVS C1-18-6) Valais Tribunal cantonal 25.05.2020 RVJ 2021 p. 158-168 (TCVS C1-18-6) Vallese Kantonsgericht 25.05.2020 RVJ 2021 p. 158-168 (TCVS C1-18-6)</w:t>
      </w:r>
    </w:p>
    <w:p>
      <w:r>
        <w:t>158 RVJ / ZWR 2021 Droit civil - qualité pour agir en cas - défaut des parties communes - ATC (juge de la Cour civile II) du 25 mai 2020, époux X. c. époux Y. - TCV C1 18 6 Qualité pour agir en cas de défaut des parties communes d’une cop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