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2021 p. 134-142 vom 20. November 2020</w:t>
      </w:r>
    </w:p>
    <w:p>
      <w:r>
        <w:t>VS Kantonsgericht, 2020-11-20, DE</w:t>
      </w:r>
    </w:p>
    <w:p>
      <w:r>
        <w:rPr>
          <w:b/>
        </w:rPr>
        <w:t xml:space="preserve">Quelle: </w:t>
      </w:r>
      <w:r>
        <w:t>https://mcp.opencaselaw.ch/entscheid/vs_gerichte_RVJ_2021_p._134-142</w:t>
      </w:r>
    </w:p>
    <w:p>
      <w:r>
        <w:t>FR: VS_GERICHTE RVJ 2021 p. 134-142 du 20 novembre 2020</w:t>
      </w:r>
    </w:p>
    <w:p>
      <w:r>
        <w:t>IT: VS_GERICHTE RVJ 2021 p. 134-142 del 20 novembre 2020</w:t>
      </w:r>
    </w:p>
    <w:p>
      <w:pPr>
        <w:pStyle w:val="Heading2"/>
      </w:pPr>
      <w:r>
        <w:t>Regeste</w:t>
      </w:r>
    </w:p>
    <w:p>
      <w:r>
        <w:t>134 RVJ / ZWR 2021 Procédure civile - hypothèque légale des artisans et entrepreneurs - délai pour introduire l’action en inscription définitive - ATC (Juge de la cour civile I) du 20 novembre 2020, X. Sàrl c. Y. SA - TCV C1 19 212 Tardiv</w:t>
      </w:r>
    </w:p>
    <w:p>
      <w:pPr>
        <w:pStyle w:val="Heading2"/>
      </w:pPr>
      <w:r>
        <w:t>Volltext</w:t>
      </w:r>
    </w:p>
    <w:p>
      <w:r>
        <w:t>Wallis Kantonsgericht 20.11.2020 RVJ 2021 p. 134-142 (TCVS C1-19-212) Valais Tribunal cantonal 20.11.2020 RVJ 2021 p. 134-142 (TCVS C1-19-212) Vallese Kantonsgericht 20.11.2020 RVJ 2021 p. 134-142 (TCVS C1-19-212)</w:t>
      </w:r>
    </w:p>
    <w:p>
      <w:r>
        <w:t>134 RVJ / ZWR 2021 Procédure civile - hypothèque légale des artisans et entrepreneurs - délai pour introduire l’action en inscription définitive - ATC (Juge de la cour civile I) du 20 novembre 2020, X. Sàrl c. Y. SA - TCV C1 19 212 Tardiv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