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2020 p. 3-8 vom 13. August 2019</w:t>
      </w:r>
    </w:p>
    <w:p>
      <w:r>
        <w:t>VS Kantonsgericht, 2019-08-13, DE</w:t>
      </w:r>
    </w:p>
    <w:p>
      <w:r>
        <w:rPr>
          <w:b/>
        </w:rPr>
        <w:t xml:space="preserve">Quelle: </w:t>
      </w:r>
      <w:r>
        <w:t>https://mcp.opencaselaw.ch/entscheid/vs_gerichte_RVJ_2020_p._3-8</w:t>
      </w:r>
    </w:p>
    <w:p>
      <w:r>
        <w:t>FR: VS_GERICHTE RVJ 2020 p. 3-8 du 13 août 2019</w:t>
      </w:r>
    </w:p>
    <w:p>
      <w:r>
        <w:t>IT: VS_GERICHTE RVJ 2020 p. 3-8 del 13 agosto 2019</w:t>
      </w:r>
    </w:p>
    <w:p>
      <w:pPr>
        <w:pStyle w:val="Heading2"/>
      </w:pPr>
      <w:r>
        <w:t>Regeste</w:t>
      </w:r>
    </w:p>
    <w:p>
      <w:r>
        <w:t>RVJ / ZWR 2020 3 Jurisprudence de la Cour de droit public et de la Commission de recours en matière fiscale Rechtsprechung der öffentlichrechtlichen Abteilung und der Steuerrekurskommission Aménagement du territoire Raumplanung ATC (Cour</w:t>
      </w:r>
    </w:p>
    <w:p>
      <w:pPr>
        <w:pStyle w:val="Heading2"/>
      </w:pPr>
      <w:r>
        <w:t>Volltext</w:t>
      </w:r>
    </w:p>
    <w:p>
      <w:r>
        <w:t>Wallis Kantonsgericht 13.08.2019 RVJ 2020 p. 3-8 (TCVS A1-18-175) Valais Tribunal cantonal 13.08.2019 RVJ 2020 p. 3-8 (TCVS A1-18-175) Vallese Kantonsgericht 13.08.2019 RVJ 2020 p. 3-8 (TCVS A1-18-175)</w:t>
      </w:r>
    </w:p>
    <w:p>
      <w:r>
        <w:t>RVJ / ZWR 2020 3 Jurisprudence de la Cour de droit public et de la Commission de recours en matière fiscale Rechtsprechung der öffentlichrechtlichen Abteilung und der Steuerrekurskommission Aménagement du territoire Raumplanung ATC (Cour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