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2020 p. 14-20 vom 5. Februar 2019</w:t>
      </w:r>
    </w:p>
    <w:p>
      <w:r>
        <w:t>VS Kantonsgericht, 2019-02-05, DE</w:t>
      </w:r>
    </w:p>
    <w:p>
      <w:r>
        <w:rPr>
          <w:b/>
        </w:rPr>
        <w:t xml:space="preserve">Quelle: </w:t>
      </w:r>
      <w:r>
        <w:t>https://mcp.opencaselaw.ch/entscheid/vs_gerichte_RVJ_2020_p._14-20</w:t>
      </w:r>
    </w:p>
    <w:p>
      <w:r>
        <w:t>FR: VS_GERICHTE RVJ 2020 p. 14-20 du 5 février 2019</w:t>
      </w:r>
    </w:p>
    <w:p>
      <w:r>
        <w:t>IT: VS_GERICHTE RVJ 2020 p. 14-20 del 5 febbraio 2019</w:t>
      </w:r>
    </w:p>
    <w:p>
      <w:pPr>
        <w:pStyle w:val="Heading2"/>
      </w:pPr>
      <w:r>
        <w:t>Regeste</w:t>
      </w:r>
    </w:p>
    <w:p>
      <w:r>
        <w:t>14 RVJ / ZWR 2020 Constructions Bauwesen ATC (Cour de droit public) du 5 février 2019 – A1 18 146 Demande d’autorisation de construire dans une zone réservée - Définition et portée juridique de la zone réservée (art. 27 LAT, art. 19 LcAT</w:t>
      </w:r>
    </w:p>
    <w:p>
      <w:pPr>
        <w:pStyle w:val="Heading2"/>
      </w:pPr>
      <w:r>
        <w:t>Volltext</w:t>
      </w:r>
    </w:p>
    <w:p>
      <w:r>
        <w:t>Wallis Kantonsgericht 05.02.2019 RVJ 2020 p. 14-20 (TCVS A1-18-146) Valais Tribunal cantonal 05.02.2019 RVJ 2020 p. 14-20 (TCVS A1-18-146) Vallese Kantonsgericht 05.02.2019 RVJ 2020 p. 14-20 (TCVS A1-18-146)</w:t>
      </w:r>
    </w:p>
    <w:p>
      <w:r>
        <w:t>14 RVJ / ZWR 2020 Constructions Bauwesen ATC (Cour de droit public) du 5 février 2019 – A1 18 146 Demande d’autorisation de construire dans une zone réservée - Définition et portée juridique de la zone réservée (art. 27 LAT, art. 19 LcAT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