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2019 p. 36-48 vom 5. Januar 2018</w:t>
      </w:r>
    </w:p>
    <w:p>
      <w:r>
        <w:t>VS Kantonsgericht, 2018-01-05, DE</w:t>
      </w:r>
    </w:p>
    <w:p>
      <w:r>
        <w:rPr>
          <w:b/>
        </w:rPr>
        <w:t xml:space="preserve">Quelle: </w:t>
      </w:r>
      <w:r>
        <w:t>https://mcp.opencaselaw.ch/entscheid/vs_gerichte_RVJ_2019_p._36-48</w:t>
      </w:r>
    </w:p>
    <w:p>
      <w:r>
        <w:t>FR: VS_GERICHTE RVJ 2019 p. 36-48 du 5 janvier 2018</w:t>
      </w:r>
    </w:p>
    <w:p>
      <w:r>
        <w:t>IT: VS_GERICHTE RVJ 2019 p. 36-48 del 5 gennaio 2018</w:t>
      </w:r>
    </w:p>
    <w:p>
      <w:pPr>
        <w:pStyle w:val="Heading2"/>
      </w:pPr>
      <w:r>
        <w:t>Regeste</w:t>
      </w:r>
    </w:p>
    <w:p>
      <w:r>
        <w:t>36 RVJ / ZWR 2019 Constructions - ATC (Cour de droit public) du 5 janvier 2018 – A1 17 15 Résidences secondaires - L’art. 75b Cst. et la LRS sont applicables en l’espèce (art. 25 al. 1 LRS ; consid. 3). - Rappel de la jurisprudence fédéra</w:t>
      </w:r>
    </w:p>
    <w:p>
      <w:pPr>
        <w:pStyle w:val="Heading2"/>
      </w:pPr>
      <w:r>
        <w:t>Volltext</w:t>
      </w:r>
    </w:p>
    <w:p>
      <w:r>
        <w:t>Wallis Kantonsgericht 05.01.2018 RVJ 2019 p. 36-48 (TCVS A1-17-15) Valais Tribunal cantonal 05.01.2018 RVJ 2019 p. 36-48 (TCVS A1-17-15) Vallese Kantonsgericht 05.01.2018 RVJ 2019 p. 36-48 (TCVS A1-17-15)</w:t>
      </w:r>
    </w:p>
    <w:p>
      <w:r>
        <w:t>36 RVJ / ZWR 2019 Constructions - ATC (Cour de droit public) du 5 janvier 2018 – A1 17 15 Résidences secondaires - L’art. 75b Cst. et la LRS sont applicables en l’espèce (art. 25 al. 1 LRS ; consid. 3). - Rappel de la jurisprudence fédéra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