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2019 p. 253-257 vom 20. November 2018</w:t>
      </w:r>
    </w:p>
    <w:p>
      <w:r>
        <w:t>VS Kantonsgericht, 2018-11-20, DE</w:t>
      </w:r>
    </w:p>
    <w:p>
      <w:r>
        <w:rPr>
          <w:b/>
        </w:rPr>
        <w:t xml:space="preserve">Quelle: </w:t>
      </w:r>
      <w:r>
        <w:t>https://mcp.opencaselaw.ch/entscheid/vs_gerichte_RVJ_2019_p._253-257</w:t>
      </w:r>
    </w:p>
    <w:p>
      <w:r>
        <w:t>FR: VS_GERICHTE RVJ 2019 p. 253-257 du 20 novembre 2018</w:t>
      </w:r>
    </w:p>
    <w:p>
      <w:r>
        <w:t>IT: VS_GERICHTE RVJ 2019 p. 253-257 del 20 novembre 2018</w:t>
      </w:r>
    </w:p>
    <w:p>
      <w:pPr>
        <w:pStyle w:val="Heading2"/>
      </w:pPr>
      <w:r>
        <w:t>Regeste</w:t>
      </w:r>
    </w:p>
    <w:p>
      <w:r>
        <w:t>RVJ / ZWR 2019 253 Droit civil Zivilrecht Modification d’une donnée figurant à l’état civil - ATC (juge de la cour civile II) du 20 novembre 2018, X. c. la décision du juge des districts de Martigny et St-Maurice - TCV C1 18 96 Modificati</w:t>
      </w:r>
    </w:p>
    <w:p>
      <w:pPr>
        <w:pStyle w:val="Heading2"/>
      </w:pPr>
      <w:r>
        <w:t>Volltext</w:t>
      </w:r>
    </w:p>
    <w:p>
      <w:r>
        <w:t>Wallis Kantonsgericht 20.11.2018 RVJ 2019 p. 253-257 (TCVS C1-18-96) Valais Tribunal cantonal 20.11.2018 RVJ 2019 p. 253-257 (TCVS C1-18-96) Vallese Kantonsgericht 20.11.2018 RVJ 2019 p. 253-257 (TCVS C1-18-96)</w:t>
      </w:r>
    </w:p>
    <w:p>
      <w:r>
        <w:t>RVJ / ZWR 2019 253 Droit civil Zivilrecht Modification d’une donnée figurant à l’état civil - ATC (juge de la cour civile II) du 20 novembre 2018, X. c. la décision du juge des districts de Martigny et St-Maurice - TCV C1 18 96 Modificati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