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241-252 vom 16. April 2018</w:t>
      </w:r>
    </w:p>
    <w:p>
      <w:r>
        <w:t>VS Kantonsgericht, 2018-04-16, DE</w:t>
      </w:r>
    </w:p>
    <w:p>
      <w:r>
        <w:rPr>
          <w:b/>
        </w:rPr>
        <w:t xml:space="preserve">Quelle: </w:t>
      </w:r>
      <w:r>
        <w:t>https://mcp.opencaselaw.ch/entscheid/vs_gerichte_RVJ_2019_p._241-252</w:t>
      </w:r>
    </w:p>
    <w:p>
      <w:r>
        <w:t>FR: VS_GERICHTE RVJ 2019 p. 241-252 du 16 avril 2018</w:t>
      </w:r>
    </w:p>
    <w:p>
      <w:r>
        <w:t>IT: VS_GERICHTE RVJ 2019 p. 241-252 del 16 aprile 2018</w:t>
      </w:r>
    </w:p>
    <w:p>
      <w:pPr>
        <w:pStyle w:val="Heading2"/>
      </w:pPr>
      <w:r>
        <w:t>Regeste</w:t>
      </w:r>
    </w:p>
    <w:p>
      <w:r>
        <w:t>RVJ / ZWR 2019 241 Procédure civile - rejet de l’appel - ATC (cour civile II) du 16 avril 2018, X. S.A. c. Y. S.A. - TCV C1 16 110 Protection des cas clairs (art. 257 CPC) - La procédure sommaire de l’art. 257 CPC suppose deux conditions</w:t>
      </w:r>
    </w:p>
    <w:p>
      <w:pPr>
        <w:pStyle w:val="Heading2"/>
      </w:pPr>
      <w:r>
        <w:t>Volltext</w:t>
      </w:r>
    </w:p>
    <w:p>
      <w:r>
        <w:t>Wallis Kantonsgericht 16.04.2018 RVJ 2019 p. 241-252 (TCVS C1-16-110) Valais Tribunal cantonal 16.04.2018 RVJ 2019 p. 241-252 (TCVS C1-16-110) Vallese Kantonsgericht 16.04.2018 RVJ 2019 p. 241-252 (TCVS C1-16-110)</w:t>
      </w:r>
    </w:p>
    <w:p>
      <w:r>
        <w:t>RVJ / ZWR 2019 241 Procédure civile - rejet de l’appel - ATC (cour civile II) du 16 avril 2018, X. S.A. c. Y. S.A. - TCV C1 16 110 Protection des cas clairs (art. 257 CPC) - La procédure sommaire de l’art. 257 CPC suppose deux conditions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