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2018 p. 35-41 vom 4. August 2017</w:t>
      </w:r>
    </w:p>
    <w:p>
      <w:r>
        <w:t>VS Kantonsgericht, 2017-08-04, DE</w:t>
      </w:r>
    </w:p>
    <w:p>
      <w:r>
        <w:rPr>
          <w:b/>
        </w:rPr>
        <w:t xml:space="preserve">Quelle: </w:t>
      </w:r>
      <w:r>
        <w:t>https://mcp.opencaselaw.ch/entscheid/vs_gerichte_RVJ_2018_p._35-41</w:t>
      </w:r>
    </w:p>
    <w:p>
      <w:r>
        <w:t>FR: VS_GERICHTE RVJ 2018 p. 35-41 du 4 août 2017</w:t>
      </w:r>
    </w:p>
    <w:p>
      <w:r>
        <w:t>IT: VS_GERICHTE RVJ 2018 p. 35-41 del 4 agosto 2017</w:t>
      </w:r>
    </w:p>
    <w:p>
      <w:pPr>
        <w:pStyle w:val="Heading2"/>
      </w:pPr>
      <w:r>
        <w:t>Regeste</w:t>
      </w:r>
    </w:p>
    <w:p>
      <w:r>
        <w:t>34 RVJ / ZWR 2018 Forces hydrauliques Wasserkraft ATC (Cour de droit public) du 4 août 2017 – A1 16 216 Exécution d’une crue morphogène - Caractère économiquement supportable des mesures d’assainissement ; rejet d’une conclusion à caract</w:t>
      </w:r>
    </w:p>
    <w:p>
      <w:pPr>
        <w:pStyle w:val="Heading2"/>
      </w:pPr>
      <w:r>
        <w:t>Volltext</w:t>
      </w:r>
    </w:p>
    <w:p>
      <w:r>
        <w:t>Wallis Kantonsgericht 04.08.2017 RVJ 2018 p. 35-41 (TCVS A1-16-216) Valais Tribunal cantonal 04.08.2017 RVJ 2018 p. 35-41 (TCVS A1-16-216) Vallese Kantonsgericht 04.08.2017 RVJ 2018 p. 35-41 (TCVS A1-16-216)</w:t>
      </w:r>
    </w:p>
    <w:p>
      <w:r>
        <w:t>34 RVJ / ZWR 2018 Forces hydrauliques Wasserkraft ATC (Cour de droit public) du 4 août 2017 – A1 16 216 Exécution d’une crue morphogène - Caractère économiquement supportable des mesures d’assainissement ; rejet d’une conclusion à caract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