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271-278 vom 4. April 2017</w:t>
      </w:r>
    </w:p>
    <w:p>
      <w:r>
        <w:t>VS Kantonsgericht, 2017-04-04, DE</w:t>
      </w:r>
    </w:p>
    <w:p>
      <w:r>
        <w:rPr>
          <w:b/>
        </w:rPr>
        <w:t xml:space="preserve">Quelle: </w:t>
      </w:r>
      <w:r>
        <w:t>https://mcp.opencaselaw.ch/entscheid/vs_gerichte_RVJ_2018_p._271-278</w:t>
      </w:r>
    </w:p>
    <w:p>
      <w:r>
        <w:t>FR: VS_GERICHTE RVJ 2018 p. 271-278 du 4 avril 2017</w:t>
      </w:r>
    </w:p>
    <w:p>
      <w:r>
        <w:t>IT: VS_GERICHTE RVJ 2018 p. 271-278 del 4 aprile 2017</w:t>
      </w:r>
    </w:p>
    <w:p>
      <w:pPr>
        <w:pStyle w:val="Heading2"/>
      </w:pPr>
      <w:r>
        <w:t>Regeste</w:t>
      </w:r>
    </w:p>
    <w:p>
      <w:r>
        <w:t>RVJ / ZWR 2018 271 Droit des obligations Obligationenrecht Clause pénale - ATC (Cour civile II) du 4 avril 2017, X. c. Y. SA - TCV C1 15 220 Clause pénale ; fardeau de la preuve - Portée d’une clause pénale figurant dans un contrat mixte</w:t>
      </w:r>
    </w:p>
    <w:p>
      <w:pPr>
        <w:pStyle w:val="Heading2"/>
      </w:pPr>
      <w:r>
        <w:t>Volltext</w:t>
      </w:r>
    </w:p>
    <w:p>
      <w:r>
        <w:t>Wallis Kantonsgericht 04.04.2017 RVJ 2018 p. 271-278 (TCVS C1-15-220) Valais Tribunal cantonal 04.04.2017 RVJ 2018 p. 271-278 (TCVS C1-15-220) Vallese Kantonsgericht 04.04.2017 RVJ 2018 p. 271-278 (TCVS C1-15-220)</w:t>
      </w:r>
    </w:p>
    <w:p>
      <w:r>
        <w:t>RVJ / ZWR 2018 271 Droit des obligations Obligationenrecht Clause pénale - ATC (Cour civile II) du 4 avril 2017, X. c. Y. SA - TCV C1 15 220 Clause pénale ; fardeau de la preuve - Portée d’une clause pénale figurant dans un contrat mixte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