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233-239 vom 16. März 2017</w:t>
      </w:r>
    </w:p>
    <w:p>
      <w:r>
        <w:t>VS Kantonsgericht, 2017-03-16, DE</w:t>
      </w:r>
    </w:p>
    <w:p>
      <w:r>
        <w:rPr>
          <w:b/>
        </w:rPr>
        <w:t xml:space="preserve">Quelle: </w:t>
      </w:r>
      <w:r>
        <w:t>https://mcp.opencaselaw.ch/entscheid/vs_gerichte_RVJ_2018_p._233-239</w:t>
      </w:r>
    </w:p>
    <w:p>
      <w:r>
        <w:t>FR: VS_GERICHTE RVJ 2018 p. 233-239 du 16 mars 2017</w:t>
      </w:r>
    </w:p>
    <w:p>
      <w:r>
        <w:t>IT: VS_GERICHTE RVJ 2018 p. 233-239 del 16 marzo 2017</w:t>
      </w:r>
    </w:p>
    <w:p>
      <w:pPr>
        <w:pStyle w:val="Heading2"/>
      </w:pPr>
      <w:r>
        <w:t>Regeste</w:t>
      </w:r>
    </w:p>
    <w:p>
      <w:r>
        <w:t>RVJ / ZWR 2018 233 Procédure civile - réponse tardive - principe de simultanéité - principe de disposition - ATC (Cour civile II) du 16 mars 2017, dame X. c. X. - TCV C1 15 147 Divorce ; défaut de réponse - Notion de délai pour répondre</w:t>
      </w:r>
    </w:p>
    <w:p>
      <w:pPr>
        <w:pStyle w:val="Heading2"/>
      </w:pPr>
      <w:r>
        <w:t>Volltext</w:t>
      </w:r>
    </w:p>
    <w:p>
      <w:r>
        <w:t>Wallis Kantonsgericht 16.03.2017 RVJ 2018 p. 233-239 (TCVS C1-15-147) Valais Tribunal cantonal 16.03.2017 RVJ 2018 p. 233-239 (TCVS C1-15-147) Vallese Kantonsgericht 16.03.2017 RVJ 2018 p. 233-239 (TCVS C1-15-147)</w:t>
      </w:r>
    </w:p>
    <w:p>
      <w:r>
        <w:t>RVJ / ZWR 2018 233 Procédure civile - réponse tardive - principe de simultanéité - principe de disposition - ATC (Cour civile II) du 16 mars 2017, dame X. c. X. - TCV C1 15 147 Divorce ; défaut de réponse - Notion de délai pour répondre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