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63-68 vom 1. April 2016</w:t>
      </w:r>
    </w:p>
    <w:p>
      <w:r>
        <w:t>VS Kantonsgericht, 2016-04-01, DE</w:t>
      </w:r>
    </w:p>
    <w:p>
      <w:r>
        <w:rPr>
          <w:b/>
        </w:rPr>
        <w:t xml:space="preserve">Quelle: </w:t>
      </w:r>
      <w:r>
        <w:t>https://mcp.opencaselaw.ch/entscheid/vs_gerichte_RVJ_2017_p._63-68</w:t>
      </w:r>
    </w:p>
    <w:p>
      <w:r>
        <w:t>FR: VS_GERICHTE RVJ 2017 p. 63-68 du 1 avril 2016</w:t>
      </w:r>
    </w:p>
    <w:p>
      <w:r>
        <w:t>IT: VS_GERICHTE RVJ 2017 p. 63-68 del 1 aprile 2016</w:t>
      </w:r>
    </w:p>
    <w:p>
      <w:pPr>
        <w:pStyle w:val="Heading2"/>
      </w:pPr>
      <w:r>
        <w:t>Regeste</w:t>
      </w:r>
    </w:p>
    <w:p>
      <w:r>
        <w:t>RVJ / ZWR 2017 63 Voies publiques Öffentliche Strassen ATC (Cour de droit public) du 1er avril 2016 – A1 15 186 Signalisation routière - Compétences respectives du conseil municipal et de l’organe législatif en la matière (art. 8 et 9 L</w:t>
      </w:r>
    </w:p>
    <w:p>
      <w:pPr>
        <w:pStyle w:val="Heading2"/>
      </w:pPr>
      <w:r>
        <w:t>Volltext</w:t>
      </w:r>
    </w:p>
    <w:p>
      <w:r>
        <w:t>Wallis Kantonsgericht 01.04.2016 RVJ 2017 p. 63-68 (TCVS A1-15-186) Valais Tribunal cantonal 01.04.2016 RVJ 2017 p. 63-68 (TCVS A1-15-186) Vallese Kantonsgericht 01.04.2016 RVJ 2017 p. 63-68 (TCVS A1-15-186)</w:t>
      </w:r>
    </w:p>
    <w:p>
      <w:r>
        <w:t>RVJ / ZWR 2017 63 Voies publiques Öffentliche Strassen ATC (Cour de droit public) du 1er avril 2016 – A1 15 186 Signalisation routière - Compétences respectives du conseil municipal et de l’organe législatif en la matière (art. 8 et 9 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