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35-37 vom 16. September 2016</w:t>
      </w:r>
    </w:p>
    <w:p>
      <w:r>
        <w:t>VS Kantonsgericht, 2016-09-16, DE</w:t>
      </w:r>
    </w:p>
    <w:p>
      <w:r>
        <w:rPr>
          <w:b/>
        </w:rPr>
        <w:t xml:space="preserve">Quelle: </w:t>
      </w:r>
      <w:r>
        <w:t>https://mcp.opencaselaw.ch/entscheid/vs_gerichte_RVJ_2017_p._35-37</w:t>
      </w:r>
    </w:p>
    <w:p>
      <w:r>
        <w:t>FR: VS_GERICHTE RVJ 2017 p. 35-37 du 16 septembre 2016</w:t>
      </w:r>
    </w:p>
    <w:p>
      <w:r>
        <w:t>IT: VS_GERICHTE RVJ 2017 p. 35-37 del 16 settembre 2016</w:t>
      </w:r>
    </w:p>
    <w:p>
      <w:pPr>
        <w:pStyle w:val="Heading2"/>
      </w:pPr>
      <w:r>
        <w:t>Regeste</w:t>
      </w:r>
    </w:p>
    <w:p>
      <w:r>
        <w:t>RVJ / ZWR 2017 35 Marchés publics - ATC (Cour de droit public) du 16 septembre 2016 – A1 16 85 Principe de la transparence, offre anormalement basse et évaluation des références données - Principe de la transparence et exigence de commun</w:t>
      </w:r>
    </w:p>
    <w:p>
      <w:pPr>
        <w:pStyle w:val="Heading2"/>
      </w:pPr>
      <w:r>
        <w:t>Volltext</w:t>
      </w:r>
    </w:p>
    <w:p>
      <w:r>
        <w:t>Wallis Kantonsgericht 16.09.2016 RVJ 2017 p. 35-37 (TCVS A1-16-85) Valais Tribunal cantonal 16.09.2016 RVJ 2017 p. 35-37 (TCVS A1-16-85) Vallese Kantonsgericht 16.09.2016 RVJ 2017 p. 35-37 (TCVS A1-16-85)</w:t>
      </w:r>
    </w:p>
    <w:p>
      <w:r>
        <w:t>RVJ / ZWR 2017 35 Marchés publics - ATC (Cour de droit public) du 16 septembre 2016 – A1 16 85 Principe de la transparence, offre anormalement basse et évaluation des références données - Principe de la transparence et exigence de commun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