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303-309 vom 19. September 2014</w:t>
      </w:r>
    </w:p>
    <w:p>
      <w:r>
        <w:t>VS Kantonsgericht, 2014-09-19, DE</w:t>
      </w:r>
    </w:p>
    <w:p>
      <w:r>
        <w:rPr>
          <w:b/>
        </w:rPr>
        <w:t xml:space="preserve">Quelle: </w:t>
      </w:r>
      <w:r>
        <w:t>https://mcp.opencaselaw.ch/entscheid/vs_gerichte_RVJ_2015_p._303-309</w:t>
      </w:r>
    </w:p>
    <w:p>
      <w:r>
        <w:t>FR: VS_GERICHTE RVJ 2015 p. 303-309 du 19 septembre 2014</w:t>
      </w:r>
    </w:p>
    <w:p>
      <w:r>
        <w:t>IT: VS_GERICHTE RVJ 2015 p. 303-309 del 19 settembre 2014</w:t>
      </w:r>
    </w:p>
    <w:p>
      <w:pPr>
        <w:pStyle w:val="Heading2"/>
      </w:pPr>
      <w:r>
        <w:t>Regeste</w:t>
      </w:r>
    </w:p>
    <w:p>
      <w:r>
        <w:t>RVJ / ZWR 2015 303 Procédure pénale Strafprozessrecht Procédure pénale - indemnisation du défenseur d’office - ATC (Juge de la Cour pénale II) du 19 septembre 2014, Ministère public c. dame Y. et intéressant Me Z. - TCV P1 13 23 Indemnisa</w:t>
      </w:r>
    </w:p>
    <w:p>
      <w:pPr>
        <w:pStyle w:val="Heading2"/>
      </w:pPr>
      <w:r>
        <w:t>Volltext</w:t>
      </w:r>
    </w:p>
    <w:p>
      <w:r>
        <w:t>Wallis Kantonsgericht 19.09.2014 RVJ 2015 p. 303-309 (TCVS P1-13-23) Valais Tribunal cantonal 19.09.2014 RVJ 2015 p. 303-309 (TCVS P1-13-23) Vallese Kantonsgericht 19.09.2014 RVJ 2015 p. 303-309 (TCVS P1-13-23)</w:t>
      </w:r>
    </w:p>
    <w:p>
      <w:r>
        <w:t>RVJ / ZWR 2015 303 Procédure pénale Strafprozessrecht Procédure pénale - indemnisation du défenseur d’office - ATC (Juge de la Cour pénale II) du 19 septembre 2014, Ministère public c. dame Y. et intéressant Me Z. - TCV P1 13 23 Indemnisa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