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29-34 vom 4. April 2014</w:t>
      </w:r>
    </w:p>
    <w:p>
      <w:r>
        <w:t>VS Kantonsgericht, 2014-04-04, DE</w:t>
      </w:r>
    </w:p>
    <w:p>
      <w:r>
        <w:rPr>
          <w:b/>
        </w:rPr>
        <w:t xml:space="preserve">Quelle: </w:t>
      </w:r>
      <w:r>
        <w:t>https://mcp.opencaselaw.ch/entscheid/vs_gerichte_RVJ_2015_p._29-34</w:t>
      </w:r>
    </w:p>
    <w:p>
      <w:r>
        <w:t>FR: VS_GERICHTE RVJ 2015 p. 29-34 du 4 avril 2014</w:t>
      </w:r>
    </w:p>
    <w:p>
      <w:r>
        <w:t>IT: VS_GERICHTE RVJ 2015 p. 29-34 del 4 aprile 2014</w:t>
      </w:r>
    </w:p>
    <w:p>
      <w:pPr>
        <w:pStyle w:val="Heading2"/>
      </w:pPr>
      <w:r>
        <w:t>Regeste</w:t>
      </w:r>
    </w:p>
    <w:p>
      <w:r>
        <w:t>RVJ / ZWR 2015 29 Constructions - ATC (Cour de droit public) du 4 avril 2014 – A1 13 403 Esthétique des constructions - Portée des clauses d’esthétique et nature de l’appréciation à porter en la matière (art. 17 LC ; consid. 3). - Admi</w:t>
      </w:r>
    </w:p>
    <w:p>
      <w:pPr>
        <w:pStyle w:val="Heading2"/>
      </w:pPr>
      <w:r>
        <w:t>Volltext</w:t>
      </w:r>
    </w:p>
    <w:p>
      <w:r>
        <w:t>Wallis Kantonsgericht 04.04.2014 RVJ 2015 p. 29-34 (TCVS A1-13-403) Valais Tribunal cantonal 04.04.2014 RVJ 2015 p. 29-34 (TCVS A1-13-403) Vallese Kantonsgericht 04.04.2014 RVJ 2015 p. 29-34 (TCVS A1-13-403)</w:t>
      </w:r>
    </w:p>
    <w:p>
      <w:r>
        <w:t>RVJ / ZWR 2015 29 Constructions - ATC (Cour de droit public) du 4 avril 2014 – A1 13 403 Esthétique des constructions - Portée des clauses d’esthétique et nature de l’appréciation à porter en la matière (art. 17 LC ; consid. 3). - Admi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