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2015 p. 138-143 vom 3. Dezember 2014</w:t>
      </w:r>
    </w:p>
    <w:p>
      <w:r>
        <w:t>VS Kantonsgericht, 2014-12-03, DE</w:t>
      </w:r>
    </w:p>
    <w:p>
      <w:r>
        <w:rPr>
          <w:b/>
        </w:rPr>
        <w:t xml:space="preserve">Quelle: </w:t>
      </w:r>
      <w:r>
        <w:t>https://mcp.opencaselaw.ch/entscheid/vs_gerichte_RVJ_2015_p._138-143</w:t>
      </w:r>
    </w:p>
    <w:p>
      <w:r>
        <w:t>FR: VS_GERICHTE RVJ 2015 p. 138-143 du 3 décembre 2014</w:t>
      </w:r>
    </w:p>
    <w:p>
      <w:r>
        <w:t>IT: VS_GERICHTE RVJ 2015 p. 138-143 del 3 dicembre 2014</w:t>
      </w:r>
    </w:p>
    <w:p>
      <w:pPr>
        <w:pStyle w:val="Heading2"/>
      </w:pPr>
      <w:r>
        <w:t>Regeste</w:t>
      </w:r>
    </w:p>
    <w:p>
      <w:r>
        <w:t>138 RVJ / ZWR 2015 Procédure civile - mesures provisionnelles - ATC (Cour civile II) du 3 décembre 2014, X. et Y. SA c. Z. - TCV C1 14 145 Mesures provisionnelles ; atteinte à la personnalité - Conditions d’octroi des mesures provisionne</w:t>
      </w:r>
    </w:p>
    <w:p>
      <w:pPr>
        <w:pStyle w:val="Heading2"/>
      </w:pPr>
      <w:r>
        <w:t>Volltext</w:t>
      </w:r>
    </w:p>
    <w:p>
      <w:r>
        <w:t>Wallis Kantonsgericht 03.12.2014 RVJ 2015 p. 138-143 (TCVS C1-14-145) Valais Tribunal cantonal 03.12.2014 RVJ 2015 p. 138-143 (TCVS C1-14-145) Vallese Kantonsgericht 03.12.2014 RVJ 2015 p. 138-143 (TCVS C1-14-145)</w:t>
      </w:r>
    </w:p>
    <w:p>
      <w:r>
        <w:t>138 RVJ / ZWR 2015 Procédure civile - mesures provisionnelles - ATC (Cour civile II) du 3 décembre 2014, X. et Y. SA c. Z. - TCV C1 14 145 Mesures provisionnelles ; atteinte à la personnalité - Conditions d’octroi des mesures provisionne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