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65-70 vom 25. Oktober 2013</w:t>
      </w:r>
    </w:p>
    <w:p>
      <w:r>
        <w:t>VS Kantonsgericht, 2013-10-25, DE</w:t>
      </w:r>
    </w:p>
    <w:p>
      <w:r>
        <w:rPr>
          <w:b/>
        </w:rPr>
        <w:t xml:space="preserve">Quelle: </w:t>
      </w:r>
      <w:r>
        <w:t>https://mcp.opencaselaw.ch/entscheid/vs_gerichte_RVJ_2014_p._65-70</w:t>
      </w:r>
    </w:p>
    <w:p>
      <w:r>
        <w:t>FR: VS_GERICHTE RVJ 2014 p. 65-70 du 25 octobre 2013</w:t>
      </w:r>
    </w:p>
    <w:p>
      <w:r>
        <w:t>IT: VS_GERICHTE RVJ 2014 p. 65-70 del 25 ottobre 2013</w:t>
      </w:r>
    </w:p>
    <w:p>
      <w:pPr>
        <w:pStyle w:val="Heading2"/>
      </w:pPr>
      <w:r>
        <w:t>Regeste</w:t>
      </w:r>
    </w:p>
    <w:p>
      <w:r>
        <w:t>RVJ / ZWR 2014 65 Circulation routière Strassenverkehr ATC (Cour de droit public) du 25 octobre 2013 – A1 13 317 Signalisation routière ; notification par voie édictale ; contenu de la publication - L’avis de décision doit mettre les intér</w:t>
      </w:r>
    </w:p>
    <w:p>
      <w:pPr>
        <w:pStyle w:val="Heading2"/>
      </w:pPr>
      <w:r>
        <w:t>Volltext</w:t>
      </w:r>
    </w:p>
    <w:p>
      <w:r>
        <w:t>Wallis Kantonsgericht 25.10.2013 RVJ 2014 p. 65-70 (TCVS A1-13-317) Valais Tribunal cantonal 25.10.2013 RVJ 2014 p. 65-70 (TCVS A1-13-317) Vallese Kantonsgericht 25.10.2013 RVJ 2014 p. 65-70 (TCVS A1-13-317)</w:t>
      </w:r>
    </w:p>
    <w:p>
      <w:r>
        <w:t>RVJ / ZWR 2014 65 Circulation routière Strassenverkehr ATC (Cour de droit public) du 25 octobre 2013 – A1 13 317 Signalisation routière ; notification par voie édictale ; contenu de la publication - L’avis de décision doit mettre les intér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