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2014 p. 60-64 vom 22. März 2013</w:t>
      </w:r>
    </w:p>
    <w:p>
      <w:r>
        <w:t>VS Kantonsgericht, 2013-03-22, DE</w:t>
      </w:r>
    </w:p>
    <w:p>
      <w:r>
        <w:rPr>
          <w:b/>
        </w:rPr>
        <w:t xml:space="preserve">Quelle: </w:t>
      </w:r>
      <w:r>
        <w:t>https://mcp.opencaselaw.ch/entscheid/vs_gerichte_RVJ_2014_p._60-64</w:t>
      </w:r>
    </w:p>
    <w:p>
      <w:r>
        <w:t>FR: VS_GERICHTE RVJ 2014 p. 60-64 du 22 mars 2013</w:t>
      </w:r>
    </w:p>
    <w:p>
      <w:r>
        <w:t>IT: VS_GERICHTE RVJ 2014 p. 60-64 del 22 marzo 2013</w:t>
      </w:r>
    </w:p>
    <w:p>
      <w:pPr>
        <w:pStyle w:val="Heading2"/>
      </w:pPr>
      <w:r>
        <w:t>Regeste</w:t>
      </w:r>
    </w:p>
    <w:p>
      <w:r>
        <w:t>60 RVJ / ZWR 2014 Santé publique Gesundheitswesen ATC (Cour de droit public) du 22 mars 2013 – A1 12 182 Etiquette de bouteille de vin - Rapport entre les législations en matière de marque et de denrées alimentaires (consid. 2.1). - Int</w:t>
      </w:r>
    </w:p>
    <w:p>
      <w:pPr>
        <w:pStyle w:val="Heading2"/>
      </w:pPr>
      <w:r>
        <w:t>Volltext</w:t>
      </w:r>
    </w:p>
    <w:p>
      <w:r>
        <w:t>Wallis Kantonsgericht 22.03.2013 RVJ 2014 p. 60-64 (TCVS A1-12-182) Valais Tribunal cantonal 22.03.2013 RVJ 2014 p. 60-64 (TCVS A1-12-182) Vallese Kantonsgericht 22.03.2013 RVJ 2014 p. 60-64 (TCVS A1-12-182)</w:t>
      </w:r>
    </w:p>
    <w:p>
      <w:r>
        <w:t>60 RVJ / ZWR 2014 Santé publique Gesundheitswesen ATC (Cour de droit public) du 22 mars 2013 – A1 12 182 Etiquette de bouteille de vin - Rapport entre les législations en matière de marque et de denrées alimentaires (consid. 2.1). - Int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