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46-50 vom 10. Oktober 2013</w:t>
      </w:r>
    </w:p>
    <w:p>
      <w:r>
        <w:t>VS Kantonsgericht, 2013-10-10, DE</w:t>
      </w:r>
    </w:p>
    <w:p>
      <w:r>
        <w:rPr>
          <w:b/>
        </w:rPr>
        <w:t xml:space="preserve">Quelle: </w:t>
      </w:r>
      <w:r>
        <w:t>https://mcp.opencaselaw.ch/entscheid/vs_gerichte_RVJ_2014_p._46-50</w:t>
      </w:r>
    </w:p>
    <w:p>
      <w:r>
        <w:t>FR: VS_GERICHTE RVJ 2014 p. 46-50 du 10 octobre 2013</w:t>
      </w:r>
    </w:p>
    <w:p>
      <w:r>
        <w:t>IT: VS_GERICHTE RVJ 2014 p. 46-50 del 10 ottobre 2013</w:t>
      </w:r>
    </w:p>
    <w:p>
      <w:pPr>
        <w:pStyle w:val="Heading2"/>
      </w:pPr>
      <w:r>
        <w:t>Regeste</w:t>
      </w:r>
    </w:p>
    <w:p>
      <w:r>
        <w:t>46 RVJ / ZWR 2014 Aide aux victimes d’infraction - ATC (Cour de droit public) du 10 octobre 2013 – A1 13 312 Montant d’une réparation morale LAVI - Critères à utiliser lors de la fixation du montant de la réparation morale LAVI (art. 22</w:t>
      </w:r>
    </w:p>
    <w:p>
      <w:pPr>
        <w:pStyle w:val="Heading2"/>
      </w:pPr>
      <w:r>
        <w:t>Volltext</w:t>
      </w:r>
    </w:p>
    <w:p>
      <w:r>
        <w:t>Wallis Kantonsgericht 10.10.2013 RVJ 2014 p. 46-50 (TCVS A1-13-312) Valais Tribunal cantonal 10.10.2013 RVJ 2014 p. 46-50 (TCVS A1-13-312) Vallese Kantonsgericht 10.10.2013 RVJ 2014 p. 46-50 (TCVS A1-13-312)</w:t>
      </w:r>
    </w:p>
    <w:p>
      <w:r>
        <w:t>46 RVJ / ZWR 2014 Aide aux victimes d’infraction - ATC (Cour de droit public) du 10 octobre 2013 – A1 13 312 Montant d’une réparation morale LAVI - Critères à utiliser lors de la fixation du montant de la réparation morale LAVI (art. 22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