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321-329 vom 18. September 2013</w:t>
      </w:r>
    </w:p>
    <w:p>
      <w:r>
        <w:t>VS Kantonsgericht, 2013-09-18, DE</w:t>
      </w:r>
    </w:p>
    <w:p>
      <w:r>
        <w:rPr>
          <w:b/>
        </w:rPr>
        <w:t xml:space="preserve">Quelle: </w:t>
      </w:r>
      <w:r>
        <w:t>https://mcp.opencaselaw.ch/entscheid/vs_gerichte_RVJ_2014_p._321-329</w:t>
      </w:r>
    </w:p>
    <w:p>
      <w:r>
        <w:t>FR: VS_GERICHTE RVJ 2014 p. 321-329 du 18 septembre 2013</w:t>
      </w:r>
    </w:p>
    <w:p>
      <w:r>
        <w:t>IT: VS_GERICHTE RVJ 2014 p. 321-329 del 18 settembre 2013</w:t>
      </w:r>
    </w:p>
    <w:p>
      <w:pPr>
        <w:pStyle w:val="Heading2"/>
      </w:pPr>
      <w:r>
        <w:t>Regeste</w:t>
      </w:r>
    </w:p>
    <w:p>
      <w:r>
        <w:t>RVJ / ZWR 2014 321 Procédure pénale – qualité de plaignant d’un proche – reprise de la procédure préliminaire - ATC (Juge de la chambre pénale) du 18 septembre 2013, Dame X. c. Office régional du Ministère public du Bas-Valais et Y. - TCV</w:t>
      </w:r>
    </w:p>
    <w:p>
      <w:pPr>
        <w:pStyle w:val="Heading2"/>
      </w:pPr>
      <w:r>
        <w:t>Volltext</w:t>
      </w:r>
    </w:p>
    <w:p>
      <w:r>
        <w:t>Wallis Kantonsgericht 08.04.2014 RVJ 2014 p. 321-329 (TCVS P3-13-49) Valais Tribunal cantonal 08.04.2014 RVJ 2014 p. 321-329 (TCVS P3-13-49) Vallese Kantonsgericht 08.04.2014 RVJ 2014 p. 321-329 (TCVS P3-13-49)</w:t>
      </w:r>
    </w:p>
    <w:p>
      <w:r>
        <w:t>RVJ / ZWR 2014 321 Procédure pénale – qualité de plaignant d’un proche – reprise de la procédure préliminaire - ATC (Juge de la chambre pénale) du 18 septembre 2013, Dame X. c. Office régional du Ministère public du Bas-Valais et Y. - TCV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