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30-34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https://mcp.opencaselaw.ch/entscheid/vs_gerichte_RVJ_2014_p._30-34</w:t>
      </w:r>
    </w:p>
    <w:p>
      <w:r>
        <w:t>FR: VS_GERICHTE RVJ 2014 p. 30-34 du 21 juin 2013</w:t>
      </w:r>
    </w:p>
    <w:p>
      <w:r>
        <w:t>IT: VS_GERICHTE RVJ 2014 p. 30-34 del 21 giugno 2013</w:t>
      </w:r>
    </w:p>
    <w:p>
      <w:pPr>
        <w:pStyle w:val="Heading2"/>
      </w:pPr>
      <w:r>
        <w:t>Regeste</w:t>
      </w:r>
    </w:p>
    <w:p>
      <w:r>
        <w:t>30 RVJ / ZWR 2014 Marchés publics Öffentliches Beschaffungsrecht ATC (Cour de droit public) du 21 juin 2013 – A1 13 2 Intangibilité des offres, conformité au cahier des charges et variantes - Une fois le délai de dépôt passé, le pouvoir a</w:t>
      </w:r>
    </w:p>
    <w:p>
      <w:pPr>
        <w:pStyle w:val="Heading2"/>
      </w:pPr>
      <w:r>
        <w:t>Volltext</w:t>
      </w:r>
    </w:p>
    <w:p>
      <w:r>
        <w:t>Wallis Kantonsgericht 21.06.2013 RVJ 2014 p. 30-34 (TCVS A1-13-2) Valais Tribunal cantonal 21.06.2013 RVJ 2014 p. 30-34 (TCVS A1-13-2) Vallese Kantonsgericht 21.06.2013 RVJ 2014 p. 30-34 (TCVS A1-13-2)</w:t>
      </w:r>
    </w:p>
    <w:p>
      <w:r>
        <w:t>30 RVJ / ZWR 2014 Marchés publics Öffentliches Beschaffungsrecht ATC (Cour de droit public) du 21 juin 2013 – A1 13 2 Intangibilité des offres, conformité au cahier des charges et variantes - Une fois le délai de dépôt passé, le pouvoir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