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25-29 vom 20. November 2013</w:t>
      </w:r>
    </w:p>
    <w:p>
      <w:r>
        <w:t>VS Kantonsgericht, 2013-11-20, DE</w:t>
      </w:r>
    </w:p>
    <w:p>
      <w:r>
        <w:rPr>
          <w:b/>
        </w:rPr>
        <w:t xml:space="preserve">Quelle: </w:t>
      </w:r>
      <w:r>
        <w:t>https://mcp.opencaselaw.ch/entscheid/vs_gerichte_RVJ_2014_p._25-29</w:t>
      </w:r>
    </w:p>
    <w:p>
      <w:r>
        <w:t>FR: VS_GERICHTE RVJ 2014 p. 25-29 du 20 novembre 2013</w:t>
      </w:r>
    </w:p>
    <w:p>
      <w:r>
        <w:t>IT: VS_GERICHTE RVJ 2014 p. 25-29 del 20 novembre 2013</w:t>
      </w:r>
    </w:p>
    <w:p>
      <w:pPr>
        <w:pStyle w:val="Heading2"/>
      </w:pPr>
      <w:r>
        <w:t>Regeste</w:t>
      </w:r>
    </w:p>
    <w:p>
      <w:r>
        <w:t>RVJ / ZWR 2014 25 Constructions - ATC (Cour de droit public) du 20 novembre 2013 – A1 13 306 Notion de corps échelonnés d’un bâtiment et calcul de la hauteur - Conditions auxquelles des éléments de construction composant un chalet individu</w:t>
      </w:r>
    </w:p>
    <w:p>
      <w:pPr>
        <w:pStyle w:val="Heading2"/>
      </w:pPr>
      <w:r>
        <w:t>Volltext</w:t>
      </w:r>
    </w:p>
    <w:p>
      <w:r>
        <w:t>Wallis Kantonsgericht 20.11.2013 RVJ 2014 p. 25-29 (TCVS A1-13-306) Valais Tribunal cantonal 20.11.2013 RVJ 2014 p. 25-29 (TCVS A1-13-306) Vallese Kantonsgericht 20.11.2013 RVJ 2014 p. 25-29 (TCVS A1-13-306)</w:t>
      </w:r>
    </w:p>
    <w:p>
      <w:r>
        <w:t>RVJ / ZWR 2014 25 Constructions - ATC (Cour de droit public) du 20 novembre 2013 – A1 13 306 Notion de corps échelonnés d’un bâtiment et calcul de la hauteur - Conditions auxquelles des éléments de construction composant un chalet individu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