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211-216 vom 11. Februar 2013</w:t>
      </w:r>
    </w:p>
    <w:p>
      <w:r>
        <w:t>VS Kantonsgericht, 2013-02-11, DE</w:t>
      </w:r>
    </w:p>
    <w:p>
      <w:r>
        <w:rPr>
          <w:b/>
        </w:rPr>
        <w:t xml:space="preserve">Quelle: </w:t>
      </w:r>
      <w:r>
        <w:t>https://mcp.opencaselaw.ch/entscheid/vs_gerichte_RVJ_2014_p._211-216</w:t>
      </w:r>
    </w:p>
    <w:p>
      <w:r>
        <w:t>FR: VS_GERICHTE RVJ 2014 p. 211-216 du 11 février 2013</w:t>
      </w:r>
    </w:p>
    <w:p>
      <w:r>
        <w:t>IT: VS_GERICHTE RVJ 2014 p. 211-216 del 11 febbraio 2013</w:t>
      </w:r>
    </w:p>
    <w:p>
      <w:pPr>
        <w:pStyle w:val="Heading2"/>
      </w:pPr>
      <w:r>
        <w:t>Regeste</w:t>
      </w:r>
    </w:p>
    <w:p>
      <w:r>
        <w:t>RVJ / ZWR 2014 211 Droit pénal – menaces ou contrainte – ATC (juge de la chambre pénale) du 11 février 2013, X. c. Office central du Ministère public - TCV P3 12 192 Menaces ou contrainte - En principe, la notification d’un commandement de</w:t>
      </w:r>
    </w:p>
    <w:p>
      <w:pPr>
        <w:pStyle w:val="Heading2"/>
      </w:pPr>
      <w:r>
        <w:t>Volltext</w:t>
      </w:r>
    </w:p>
    <w:p>
      <w:r>
        <w:t>Wallis Kantonsgericht 11.02.2013 RVJ 2014 p. 211-216 (TCVS P3-12-192) Valais Tribunal cantonal 11.02.2013 RVJ 2014 p. 211-216 (TCVS P3-12-192) Vallese Kantonsgericht 11.02.2013 RVJ 2014 p. 211-216 (TCVS P3-12-192)</w:t>
      </w:r>
    </w:p>
    <w:p>
      <w:r>
        <w:t>RVJ / ZWR 2014 211 Droit pénal – menaces ou contrainte – ATC (juge de la chambre pénale) du 11 février 2013, X. c. Office central du Ministère public - TCV P3 12 192 Menaces ou contrainte - En principe, la notification d’un commandement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