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193-194 vom 10. Dezember 2013</w:t>
      </w:r>
    </w:p>
    <w:p>
      <w:r>
        <w:t>VS Kantonsgericht, 2013-12-10, DE</w:t>
      </w:r>
    </w:p>
    <w:p>
      <w:r>
        <w:rPr>
          <w:b/>
        </w:rPr>
        <w:t xml:space="preserve">Quelle: </w:t>
      </w:r>
      <w:r>
        <w:t>https://mcp.opencaselaw.ch/entscheid/vs_gerichte_RVJ_2014_p._193-194</w:t>
      </w:r>
    </w:p>
    <w:p>
      <w:r>
        <w:t>FR: VS_GERICHTE RVJ 2014 p. 193-194 du 10 décembre 2013</w:t>
      </w:r>
    </w:p>
    <w:p>
      <w:r>
        <w:t>IT: VS_GERICHTE RVJ 2014 p. 193-194 del 10 dicembre 2013</w:t>
      </w:r>
    </w:p>
    <w:p>
      <w:pPr>
        <w:pStyle w:val="Heading2"/>
      </w:pPr>
      <w:r>
        <w:t>Regeste</w:t>
      </w:r>
    </w:p>
    <w:p>
      <w:r>
        <w:t>RVJ / ZWR 2014 193 Procédure pénale – défaut de motivation du recours - ATC (Juge de la Chambre pénale) du 10 décembre 2013, X. c. Police cantonale – TCV P3 13 240 Défaut de motivation du recours : conséquences - Exigence de motivation et</w:t>
      </w:r>
    </w:p>
    <w:p>
      <w:pPr>
        <w:pStyle w:val="Heading2"/>
      </w:pPr>
      <w:r>
        <w:t>Volltext</w:t>
      </w:r>
    </w:p>
    <w:p>
      <w:r>
        <w:t>Wallis Kantonsgericht 10.12.2013 RVJ 2014 p. 193-194 (TCVS P3-13-240) Valais Tribunal cantonal 10.12.2013 RVJ 2014 p. 193-194 (TCVS P3-13-240) Vallese Kantonsgericht 10.12.2013 RVJ 2014 p. 193-194 (TCVS P3-13-240)</w:t>
      </w:r>
    </w:p>
    <w:p>
      <w:r>
        <w:t>RVJ / ZWR 2014 193 Procédure pénale – défaut de motivation du recours - ATC (Juge de la Chambre pénale) du 10 décembre 2013, X. c. Police cantonale – TCV P3 13 240 Défaut de motivation du recours : conséquences - Exigence de motivation 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