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50-58 vom 1. September 2011</w:t>
      </w:r>
    </w:p>
    <w:p>
      <w:r>
        <w:t>VS Kantonsgericht, 2011-09-01, DE</w:t>
      </w:r>
    </w:p>
    <w:p>
      <w:r>
        <w:rPr>
          <w:b/>
        </w:rPr>
        <w:t xml:space="preserve">Quelle: </w:t>
      </w:r>
      <w:r>
        <w:t>https://mcp.opencaselaw.ch/entscheid/vs_gerichte_RVJ_2013_p._50-58</w:t>
      </w:r>
    </w:p>
    <w:p>
      <w:r>
        <w:t>FR: VS_GERICHTE RVJ 2013 p. 50-58 du 1 septembre 2011</w:t>
      </w:r>
    </w:p>
    <w:p>
      <w:r>
        <w:t>IT: VS_GERICHTE RVJ 2013 p. 50-58 del 1 settembre 2011</w:t>
      </w:r>
    </w:p>
    <w:p>
      <w:pPr>
        <w:pStyle w:val="Heading2"/>
      </w:pPr>
      <w:r>
        <w:t>Regeste</w:t>
      </w:r>
    </w:p>
    <w:p>
      <w:r>
        <w:t>50 RVJ / ZVR 2013 Energie Energie ATC (Cour de droit public) du 1er septembre 2011 – A1 11 48 Planification et réglementation communales prévoyant des secteurs de chauffage à distance - La réglementation projetée respecte les buts de l’am</w:t>
      </w:r>
    </w:p>
    <w:p>
      <w:pPr>
        <w:pStyle w:val="Heading2"/>
      </w:pPr>
      <w:r>
        <w:t>Volltext</w:t>
      </w:r>
    </w:p>
    <w:p>
      <w:r>
        <w:t>Wallis Kantonsgericht 01.09.2011 RVJ 2013 p. 50-58 (TCVS A1-11-48) Valais Tribunal cantonal 01.09.2011 RVJ 2013 p. 50-58 (TCVS A1-11-48) Vallese Kantonsgericht 01.09.2011 RVJ 2013 p. 50-58 (TCVS A1-11-48)</w:t>
      </w:r>
    </w:p>
    <w:p>
      <w:r>
        <w:t>50 RVJ / ZVR 2013 Energie Energie ATC (Cour de droit public) du 1er septembre 2011 – A1 11 48 Planification et réglementation communales prévoyant des secteurs de chauffage à distance - La réglementation projetée respecte les buts de l’am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