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44-49 vom 12. Oktober 2012</w:t>
      </w:r>
    </w:p>
    <w:p>
      <w:r>
        <w:t>VS Kantonsgericht, 2012-10-12, DE</w:t>
      </w:r>
    </w:p>
    <w:p>
      <w:r>
        <w:rPr>
          <w:b/>
        </w:rPr>
        <w:t xml:space="preserve">Quelle: </w:t>
      </w:r>
      <w:r>
        <w:t>https://mcp.opencaselaw.ch/entscheid/vs_gerichte_RVJ_2013_p._44-49</w:t>
      </w:r>
    </w:p>
    <w:p>
      <w:r>
        <w:t>FR: VS_GERICHTE RVJ 2013 p. 44-49 du 12 octobre 2012</w:t>
      </w:r>
    </w:p>
    <w:p>
      <w:r>
        <w:t>IT: VS_GERICHTE RVJ 2013 p. 44-49 del 12 ottobre 2012</w:t>
      </w:r>
    </w:p>
    <w:p>
      <w:pPr>
        <w:pStyle w:val="Heading2"/>
      </w:pPr>
      <w:r>
        <w:t>Regeste</w:t>
      </w:r>
    </w:p>
    <w:p>
      <w:r>
        <w:t>44 RVJ / ZVR 2013 Marchés publics Öffentliches Beschaffungsrecht ATC (Cour de droit public) du 12 octobre 2012 (A1 12 139) Exclusion d’un soumissionnaire - Motifs d’exclusion (art. 23 al. 1 Omp ; consid. 2). - Fixation d’un seuil d’exclus</w:t>
      </w:r>
    </w:p>
    <w:p>
      <w:pPr>
        <w:pStyle w:val="Heading2"/>
      </w:pPr>
      <w:r>
        <w:t>Volltext</w:t>
      </w:r>
    </w:p>
    <w:p>
      <w:r>
        <w:t>Wallis Kantonsgericht 12.10.2012 RVJ 2013 p. 44-49 (TCVS A1-12-139) Valais Tribunal cantonal 12.10.2012 RVJ 2013 p. 44-49 (TCVS A1-12-139) Vallese Kantonsgericht 12.10.2012 RVJ 2013 p. 44-49 (TCVS A1-12-139)</w:t>
      </w:r>
    </w:p>
    <w:p>
      <w:r>
        <w:t>44 RVJ / ZVR 2013 Marchés publics Öffentliches Beschaffungsrecht ATC (Cour de droit public) du 12 octobre 2012 (A1 12 139) Exclusion d’un soumissionnaire - Motifs d’exclusion (art. 23 al. 1 Omp ; consid. 2). - Fixation d’un seuil d’exclus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