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37-43 vom 22. März 2012</w:t>
      </w:r>
    </w:p>
    <w:p>
      <w:r>
        <w:t>VS Kantonsgericht, 2012-03-22, DE</w:t>
      </w:r>
    </w:p>
    <w:p>
      <w:r>
        <w:rPr>
          <w:b/>
        </w:rPr>
        <w:t xml:space="preserve">Quelle: </w:t>
      </w:r>
      <w:r>
        <w:t>https://mcp.opencaselaw.ch/entscheid/vs_gerichte_RVJ_2013_p._37-43</w:t>
      </w:r>
    </w:p>
    <w:p>
      <w:r>
        <w:t>FR: VS_GERICHTE RVJ 2013 p. 37-43 du 22 mars 2012</w:t>
      </w:r>
    </w:p>
    <w:p>
      <w:r>
        <w:t>IT: VS_GERICHTE RVJ 2013 p. 37-43 del 22 marzo 2012</w:t>
      </w:r>
    </w:p>
    <w:p>
      <w:pPr>
        <w:pStyle w:val="Heading2"/>
      </w:pPr>
      <w:r>
        <w:t>Regeste</w:t>
      </w:r>
    </w:p>
    <w:p>
      <w:r>
        <w:t>RVJ / ZVR 2013 37 Expropriation Enteignung ATC (Cour de droit public) du 22 mars 2012 – A1 2011 180 Expropriation de surfaces de terrain correspondant à un chemin piétonnier - Une expropriation ne peut frapper plus de droit que ceux qui lu</w:t>
      </w:r>
    </w:p>
    <w:p>
      <w:pPr>
        <w:pStyle w:val="Heading2"/>
      </w:pPr>
      <w:r>
        <w:t>Volltext</w:t>
      </w:r>
    </w:p>
    <w:p>
      <w:r>
        <w:t>Wallis Kantonsgericht 22.03.2012 RVJ 2013 p. 37-43 (TCVS A1-11-180) Valais Tribunal cantonal 22.03.2012 RVJ 2013 p. 37-43 (TCVS A1-11-180) Vallese Kantonsgericht 22.03.2012 RVJ 2013 p. 37-43 (TCVS A1-11-180)</w:t>
      </w:r>
    </w:p>
    <w:p>
      <w:r>
        <w:t>RVJ / ZVR 2013 37 Expropriation Enteignung ATC (Cour de droit public) du 22 mars 2012 – A1 2011 180 Expropriation de surfaces de terrain correspondant à un chemin piétonnier - Une expropriation ne peut frapper plus de droit que ceux qui lu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